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7AD7A" Type="http://schemas.openxmlformats.org/officeDocument/2006/relationships/officeDocument" Target="/word/document.xml" /><Relationship Id="coreR567AD7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28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0152"/>
        </w:trPr>
        <w:tc>
          <w:tcPr>
            <w:tcW w:w="9540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  <w:sz w:val="20"/>
                    </w:rPr>
                  </w:pPr>
                </w:p>
              </w:tc>
            </w:tr>
          </w:tbl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12.04.2018. </w:t>
            </w:r>
          </w:p>
          <w:p>
            <w:pPr>
              <w:jc w:val="right"/>
              <w:rPr>
                <w:rFonts w:ascii="Arial" w:hAnsi="Arial"/>
                <w:b w:val="1"/>
                <w:sz w:val="20"/>
              </w:rPr>
            </w:pPr>
          </w:p>
          <w:p>
            <w:pPr>
              <w:jc w:val="both"/>
              <w:rPr>
                <w:rFonts w:ascii="Arial" w:hAnsi="Arial"/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ЦЕНА, март 2018.</w:t>
            </w:r>
          </w:p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both"/>
              <w:rPr>
                <w:sz w:val="20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 дефинишу се као мера просечне промене малопродајних цена робе и услуга које се користе за личну потрошњу.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ових производа и услуга у марту 2018. године, у односу на фебруар 2018. године, у просеку су више за 0,1%. Потрошачке цене у марту 2018. године, у поређењу са истим месецом претходне године, повећане су 1,4%, док су у поређењу са децембром 2017. године повећане 0,8%.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Посматрано по главним групама производа и услуга класификованих према намени потрошње, у марту 2018. године, у односу на претходни месец, </w:t>
            </w:r>
            <w:r>
              <w:rPr>
                <w:rFonts w:ascii="Tahoma" w:hAnsi="Tahoma"/>
                <w:color w:val="000000"/>
                <w:sz w:val="22"/>
              </w:rPr>
              <w:t xml:space="preserve">раст цена је забележен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Храна и безалкохолна пића </w:t>
            </w:r>
            <w:r>
              <w:rPr>
                <w:rFonts w:ascii="Tahoma" w:hAnsi="Tahoma"/>
                <w:color w:val="000000"/>
                <w:sz w:val="22"/>
              </w:rPr>
              <w:t xml:space="preserve">(0,5%),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Здравство</w:t>
            </w:r>
            <w:r>
              <w:rPr>
                <w:rFonts w:ascii="Tahoma" w:hAnsi="Tahoma"/>
                <w:color w:val="000000"/>
                <w:sz w:val="22"/>
              </w:rPr>
              <w:t xml:space="preserve"> (0,4%), као и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Алкохолна пића и дуван</w:t>
            </w:r>
            <w:r>
              <w:rPr>
                <w:rFonts w:ascii="Tahoma" w:hAnsi="Tahoma"/>
                <w:color w:val="000000"/>
                <w:sz w:val="22"/>
              </w:rPr>
              <w:t>,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Намештај, покућство 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текуће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одржавање стана</w:t>
            </w:r>
            <w:r>
              <w:rPr>
                <w:rFonts w:ascii="Tahoma" w:hAnsi="Tahoma"/>
                <w:color w:val="000000"/>
                <w:sz w:val="22"/>
              </w:rPr>
              <w:t xml:space="preserve">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Ресторани и хотели </w:t>
            </w:r>
            <w:r>
              <w:rPr>
                <w:rFonts w:ascii="Tahoma" w:hAnsi="Tahoma"/>
                <w:color w:val="000000"/>
                <w:sz w:val="22"/>
              </w:rPr>
              <w:t>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Образовање</w:t>
            </w:r>
            <w:r>
              <w:rPr>
                <w:rFonts w:ascii="Tahoma" w:hAnsi="Tahoma"/>
                <w:color w:val="000000"/>
                <w:sz w:val="22"/>
              </w:rPr>
              <w:t xml:space="preserve"> (за по 0,2%). Раст цена забележен је и у групи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Стан, вода, електрична енергија, гас и друга горива</w:t>
            </w:r>
            <w:r>
              <w:rPr>
                <w:rFonts w:ascii="Tahoma" w:hAnsi="Tahoma"/>
                <w:color w:val="000000"/>
                <w:sz w:val="22"/>
              </w:rPr>
              <w:t xml:space="preserve"> (0,1%). </w:t>
            </w:r>
            <w:r>
              <w:rPr>
                <w:rFonts w:ascii="Tahoma" w:hAnsi="Tahoma"/>
                <w:sz w:val="22"/>
              </w:rPr>
              <w:t>Пад цена забележен је у групама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Рекреација и култура</w:t>
            </w:r>
            <w:r>
              <w:rPr>
                <w:rFonts w:ascii="Tahoma" w:hAnsi="Tahoma"/>
                <w:color w:val="000000"/>
                <w:sz w:val="22"/>
              </w:rPr>
              <w:t xml:space="preserve"> (-1,5%),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Т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анспорт</w:t>
            </w:r>
            <w:r>
              <w:rPr>
                <w:rFonts w:ascii="Tahoma" w:hAnsi="Tahoma"/>
                <w:color w:val="000000"/>
                <w:sz w:val="22"/>
              </w:rPr>
              <w:t xml:space="preserve"> (-0,2%) 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Кому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никац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ије</w:t>
            </w:r>
            <w:r>
              <w:rPr>
                <w:rFonts w:ascii="Tahoma" w:hAnsi="Tahoma"/>
                <w:color w:val="000000"/>
                <w:sz w:val="22"/>
              </w:rPr>
              <w:t xml:space="preserve">  (-0,1%). 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ind w:firstLine="364" w:left="68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осталих производа и услуга нису се битније мењале.</w:t>
            </w:r>
          </w:p>
          <w:p>
            <w:pPr>
              <w:ind w:hanging="181" w:left="68"/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900" w:leader="none"/>
              </w:tabs>
              <w:jc w:val="both"/>
              <w:rPr>
                <w:rFonts w:ascii="Tahoma" w:hAnsi="Tahoma"/>
                <w:sz w:val="20"/>
              </w:rPr>
            </w:pPr>
          </w:p>
        </w:tc>
      </w:tr>
    </w:tbl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19B7AC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253B818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2018-04-10T09:01:00Z</dcterms:created>
  <cp:lastModifiedBy>Nikola Kapetanovic</cp:lastModifiedBy>
  <cp:lastPrinted>2018-03-09T10:23:00Z</cp:lastPrinted>
  <dcterms:modified xsi:type="dcterms:W3CDTF">2020-01-10T11:25:15Z</dcterms:modified>
  <cp:revision>6</cp:revision>
  <dc:title>ДАТУМ</dc:title>
</cp:coreProperties>
</file>