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7B2BA5" Type="http://schemas.openxmlformats.org/officeDocument/2006/relationships/officeDocument" Target="/word/document.xml" /><Relationship Id="coreR367B2B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188" w:type="dxa"/>
          </w:tcPr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15.03.2018.</w:t>
            </w:r>
          </w:p>
          <w:tbl>
            <w:tblPr>
              <w:tblStyle w:val="T2"/>
              <w:tblW w:w="5000" w:type="pct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5000" w:type="pct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0"/>
                    </w:rPr>
                  </w:pP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2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Приходи у новцу и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у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натури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и лична потрошња домаћинстава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,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I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V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квартал 201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7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.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color w:val="333333"/>
                      <w:sz w:val="22"/>
                    </w:rPr>
                  </w:pP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 xml:space="preserve">– претходни </w:t>
                  </w:r>
                  <w:r>
                    <w:rPr>
                      <w:rFonts w:ascii="Tahoma" w:hAnsi="Tahoma"/>
                      <w:b w:val="1"/>
                      <w:color w:val="333333"/>
                      <w:sz w:val="22"/>
                    </w:rPr>
                    <w:t>резултати –</w:t>
                  </w:r>
                </w:p>
              </w:tc>
            </w:tr>
          </w:tbl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Анкетом о потрошњи домаћинстава прикупљају се подаци о приходима и потрошњи домаћинстава, односно подаци о основним елементима личне потрошње. </w:t>
            </w:r>
          </w:p>
          <w:p>
            <w:pPr>
              <w:jc w:val="both"/>
              <w:rPr>
                <w:rFonts w:ascii="Tahoma" w:hAnsi="Tahoma"/>
                <w:sz w:val="16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Упоредни преглед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п</w:t>
            </w:r>
            <w:r>
              <w:rPr>
                <w:rFonts w:ascii="Tahoma" w:hAnsi="Tahoma"/>
                <w:b w:val="1"/>
                <w:sz w:val="20"/>
              </w:rPr>
              <w:t>рихода</w:t>
            </w:r>
            <w:r>
              <w:rPr>
                <w:rFonts w:ascii="Tahoma" w:hAnsi="Tahoma"/>
                <w:b w:val="1"/>
                <w:sz w:val="20"/>
              </w:rPr>
              <w:t xml:space="preserve"> у новцу и у натури</w:t>
            </w:r>
            <w:r>
              <w:rPr>
                <w:rFonts w:ascii="Tahoma" w:hAnsi="Tahoma"/>
                <w:b w:val="1"/>
                <w:color w:val="333333"/>
                <w:sz w:val="22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и личн</w:t>
            </w:r>
            <w:r>
              <w:rPr>
                <w:rFonts w:ascii="Tahoma" w:hAnsi="Tahoma"/>
                <w:b w:val="1"/>
                <w:sz w:val="20"/>
              </w:rPr>
              <w:t>е</w:t>
            </w:r>
            <w:r>
              <w:rPr>
                <w:rFonts w:ascii="Tahoma" w:hAnsi="Tahoma"/>
                <w:b w:val="1"/>
                <w:sz w:val="20"/>
              </w:rPr>
              <w:t xml:space="preserve"> потрошњ</w:t>
            </w:r>
            <w:r>
              <w:rPr>
                <w:rFonts w:ascii="Tahoma" w:hAnsi="Tahoma"/>
                <w:b w:val="1"/>
                <w:sz w:val="20"/>
              </w:rPr>
              <w:t>е домаћинстава</w:t>
            </w:r>
          </w:p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Tahoma" w:hAnsi="Tahoma"/>
                <w:sz w:val="18"/>
              </w:rPr>
              <w:t>РСД</w:t>
            </w:r>
          </w:p>
          <w:tbl>
            <w:tblPr>
              <w:tblStyle w:val="T2"/>
              <w:tblW w:w="5000" w:type="pct"/>
              <w:tblBorders>
                <w:top w:val="single" w:sz="4" w:space="0" w:shadow="0" w:frame="0"/>
                <w:left w:val="none" w:sz="0" w:space="0" w:shadow="0" w:frame="0"/>
                <w:bottom w:val="single" w:sz="4" w:space="0" w:shadow="0" w:frame="0"/>
                <w:right w:val="none" w:sz="0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  <w:trHeight w:hRule="atLeast" w:val="340"/>
              </w:trPr>
              <w:tc>
                <w:tcPr>
                  <w:tcW w:w="192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4069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201</w:t>
                  </w:r>
                  <w:r>
                    <w:rPr>
                      <w:rFonts w:ascii="Tahoma" w:hAnsi="Tahoma"/>
                      <w:b w:val="1"/>
                      <w:sz w:val="18"/>
                    </w:rPr>
                    <w:t>6</w:t>
                  </w:r>
                  <w:r>
                    <w:rPr>
                      <w:rFonts w:ascii="Tahoma" w:hAnsi="Tahoma"/>
                      <w:b w:val="1"/>
                      <w:sz w:val="18"/>
                    </w:rPr>
                    <w:t>.</w:t>
                  </w:r>
                </w:p>
              </w:tc>
              <w:tc>
                <w:tcPr>
                  <w:tcW w:w="3982" w:type="dxa"/>
                  <w:gridSpan w:val="4"/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2</w:t>
                  </w:r>
                  <w:r>
                    <w:rPr>
                      <w:rFonts w:ascii="Tahoma" w:hAnsi="Tahoma"/>
                      <w:b w:val="1"/>
                      <w:sz w:val="18"/>
                    </w:rPr>
                    <w:t>017</w:t>
                  </w:r>
                  <w:r>
                    <w:rPr>
                      <w:rFonts w:ascii="Tahoma" w:hAnsi="Tahoma"/>
                      <w:b w:val="1"/>
                      <w:sz w:val="18"/>
                    </w:rPr>
                    <w:t>.</w:t>
                  </w:r>
                </w:p>
              </w:tc>
            </w:tr>
            <w:tr>
              <w:trPr>
                <w:wAfter w:w="0" w:type="dxa"/>
                <w:trHeight w:hRule="atLeast" w:val="567"/>
              </w:trPr>
              <w:tc>
                <w:tcPr>
                  <w:tcW w:w="1921" w:type="dxa"/>
                  <w:vMerge w:val="continue"/>
                  <w:tcBorders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sz w:val="20"/>
                    </w:rPr>
                  </w:pPr>
                </w:p>
              </w:tc>
              <w:tc>
                <w:tcPr>
                  <w:tcW w:w="1018" w:type="dxa"/>
                  <w:tcBorders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 xml:space="preserve">I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1017" w:type="dxa"/>
                  <w:tcBorders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 xml:space="preserve">II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1017" w:type="dxa"/>
                  <w:tcBorders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 xml:space="preserve">III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1017" w:type="dxa"/>
                  <w:tcBorders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 xml:space="preserve">IV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1016" w:type="dxa"/>
                  <w:tcBorders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 xml:space="preserve">I 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1016" w:type="dxa"/>
                  <w:tcBorders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I</w:t>
                  </w:r>
                  <w:r>
                    <w:rPr>
                      <w:rFonts w:ascii="Tahoma" w:hAnsi="Tahoma"/>
                      <w:b w:val="1"/>
                      <w:sz w:val="18"/>
                    </w:rPr>
                    <w:t>I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975" w:type="dxa"/>
                  <w:tcBorders>
                    <w:left w:val="single" w:sz="4" w:space="0" w:shadow="0" w:frame="0"/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III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  <w:tc>
                <w:tcPr>
                  <w:tcW w:w="975" w:type="dxa"/>
                  <w:tcBorders>
                    <w:left w:val="single" w:sz="4" w:space="0" w:shadow="0" w:frame="0"/>
                    <w:bottom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IV</w:t>
                  </w:r>
                </w:p>
                <w:p>
                  <w:pPr>
                    <w:jc w:val="center"/>
                    <w:rPr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Fonts w:ascii="Tahoma" w:hAnsi="Tahoma"/>
                      <w:b w:val="1"/>
                      <w:sz w:val="18"/>
                    </w:rPr>
                    <w:t>квартал</w:t>
                  </w:r>
                </w:p>
              </w:tc>
            </w:tr>
            <w:tr>
              <w:trPr>
                <w:wAfter w:w="0" w:type="dxa"/>
                <w:trHeight w:hRule="atLeast" w:val="397"/>
              </w:trPr>
              <w:tc>
                <w:tcPr>
                  <w:tcW w:w="1921" w:type="dxa"/>
                  <w:tcBorders>
                    <w:bottom w:val="none" w:sz="0" w:space="0" w:shadow="0" w:frame="0"/>
                  </w:tcBorders>
                  <w:vAlign w:val="center"/>
                </w:tcPr>
                <w:p>
                  <w:pPr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Приходи у новцу и у натури – укупно</w:t>
                  </w:r>
                </w:p>
              </w:tc>
              <w:tc>
                <w:tcPr>
                  <w:tcW w:w="1018" w:type="dxa"/>
                  <w:tcBorders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59182</w:t>
                  </w:r>
                </w:p>
              </w:tc>
              <w:tc>
                <w:tcPr>
                  <w:tcW w:w="1017" w:type="dxa"/>
                  <w:tcBorders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58656</w:t>
                  </w:r>
                </w:p>
              </w:tc>
              <w:tc>
                <w:tcPr>
                  <w:tcW w:w="1017" w:type="dxa"/>
                  <w:tcBorders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60011</w:t>
                  </w:r>
                </w:p>
              </w:tc>
              <w:tc>
                <w:tcPr>
                  <w:tcW w:w="1017" w:type="dxa"/>
                  <w:tcBorders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60639</w:t>
                  </w:r>
                </w:p>
              </w:tc>
              <w:tc>
                <w:tcPr>
                  <w:tcW w:w="1016" w:type="dxa"/>
                  <w:tcBorders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60065</w:t>
                  </w:r>
                </w:p>
              </w:tc>
              <w:tc>
                <w:tcPr>
                  <w:tcW w:w="1016" w:type="dxa"/>
                  <w:tcBorders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60195</w:t>
                  </w:r>
                </w:p>
              </w:tc>
              <w:tc>
                <w:tcPr>
                  <w:tcW w:w="975" w:type="dxa"/>
                  <w:tcBorders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61729</w:t>
                  </w:r>
                </w:p>
              </w:tc>
              <w:tc>
                <w:tcPr>
                  <w:tcW w:w="975" w:type="dxa"/>
                  <w:tcBorders>
                    <w:left w:val="none" w:sz="0" w:space="0" w:shadow="0" w:frame="0"/>
                    <w:bottom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63674</w:t>
                  </w:r>
                </w:p>
              </w:tc>
            </w:tr>
            <w:tr>
              <w:trPr>
                <w:wAfter w:w="0" w:type="dxa"/>
                <w:trHeight w:hRule="atLeast" w:val="397"/>
              </w:trPr>
              <w:tc>
                <w:tcPr>
                  <w:tcW w:w="1921" w:type="dxa"/>
                  <w:tcBorders>
                    <w:top w:val="none" w:sz="0" w:space="0" w:shadow="0" w:frame="0"/>
                  </w:tcBorders>
                  <w:vAlign w:val="center"/>
                </w:tcPr>
                <w:p>
                  <w:pPr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Лична потрошња – укупно</w:t>
                  </w:r>
                </w:p>
              </w:tc>
              <w:tc>
                <w:tcPr>
                  <w:tcW w:w="1018" w:type="dxa"/>
                  <w:tcBorders>
                    <w:top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60626</w:t>
                  </w:r>
                </w:p>
              </w:tc>
              <w:tc>
                <w:tcPr>
                  <w:tcW w:w="1017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60158</w:t>
                  </w:r>
                </w:p>
              </w:tc>
              <w:tc>
                <w:tcPr>
                  <w:tcW w:w="1017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60615</w:t>
                  </w:r>
                </w:p>
              </w:tc>
              <w:tc>
                <w:tcPr>
                  <w:tcW w:w="1017" w:type="dxa"/>
                  <w:tcBorders>
                    <w:top w:val="none" w:sz="0" w:space="0" w:shadow="0" w:frame="0"/>
                    <w:left w:val="none" w:sz="0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61467</w:t>
                  </w:r>
                </w:p>
              </w:tc>
              <w:tc>
                <w:tcPr>
                  <w:tcW w:w="1016" w:type="dxa"/>
                  <w:tcBorders>
                    <w:top w:val="none" w:sz="0" w:space="0" w:shadow="0" w:frame="0"/>
                    <w:left w:val="single" w:sz="4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61370</w:t>
                  </w:r>
                </w:p>
              </w:tc>
              <w:tc>
                <w:tcPr>
                  <w:tcW w:w="1016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61477</w:t>
                  </w:r>
                </w:p>
              </w:tc>
              <w:tc>
                <w:tcPr>
                  <w:tcW w:w="975" w:type="dxa"/>
                  <w:tcBorders>
                    <w:top w:val="none" w:sz="0" w:space="0" w:shadow="0" w:frame="0"/>
                    <w:left w:val="none" w:sz="0" w:space="0" w:shadow="0" w:frame="0"/>
                    <w:righ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62190</w:t>
                  </w:r>
                </w:p>
              </w:tc>
              <w:tc>
                <w:tcPr>
                  <w:tcW w:w="975" w:type="dxa"/>
                  <w:tcBorders>
                    <w:top w:val="none" w:sz="0" w:space="0" w:shadow="0" w:frame="0"/>
                    <w:left w:val="none" w:sz="0" w:space="0" w:shadow="0" w:frame="0"/>
                  </w:tcBorders>
                  <w:vAlign w:val="center"/>
                </w:tcPr>
                <w:p>
                  <w:pPr>
                    <w:ind w:right="113"/>
                    <w:jc w:val="righ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64086</w:t>
                  </w:r>
                </w:p>
              </w:tc>
            </w:tr>
          </w:tbl>
          <w:p>
            <w:pPr>
              <w:jc w:val="both"/>
              <w:rPr>
                <w:rFonts w:ascii="Tahoma" w:hAnsi="Tahoma"/>
                <w:sz w:val="20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У четвртом кварталу 2017. године, просечни месечни приходи у новцу и у натури по домаћинству износили су 63674 динара и виши су за 5,0% у односу на исти квартал претходне године и за 3,2% у односу на трећи квартал 2017., номинално. </w:t>
            </w: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Највећи удео у приходима у новцу и у натури имају приходи из редовног радног односа – 49,1%, пензије – 32,0%, приходи од пољопривреде, лова и риболова – 5,1%, натурална потрошња – 3,7%, приходи ван редовног радног односа – 2,8%, oстала примања од социјалног осигурања – 2,5%, oстала примања – 2,4%, и 2,4% чине приходи из осталих извора.</w:t>
            </w:r>
          </w:p>
          <w:p>
            <w:pPr>
              <w:jc w:val="both"/>
              <w:rPr>
                <w:rFonts w:ascii="Tahoma" w:hAnsi="Tahoma"/>
                <w:sz w:val="14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Издаци за личну потрошњу домаћинстава, у четвртом кварталу 2017. године, износили су 64086 динара и виши су за 4,3% у односу на исти квартал претходне године и за 3,0% у односу на трећи квартал 2017., номинално.</w:t>
            </w:r>
          </w:p>
          <w:p>
            <w:pPr>
              <w:jc w:val="both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8"/>
              </w:rPr>
              <w:t xml:space="preserve"> </w:t>
            </w: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Највећи удео у личној потрошњи домаћинстава чине издаци за храну и безалкохолна пића – 34,9% и за становање, воду, ел. енергију, гас и остала горива – 18,0%. Следе издаци за транспорт – 8,8%, за остале личне предмете и остале услуге – 5,8%, за комуникације – 5,2%, за одећу и обућу – 5,1%, за рекреацију и културу – 5,1%, за алкохолна пића и дуван – 4,9%, за здравље – 4,2%, за опрему за стан и текуће одржавање – 4,1% и 3,9% чине издаци за остале групе личне потрошње. </w:t>
            </w:r>
          </w:p>
          <w:p>
            <w:pPr>
              <w:jc w:val="both"/>
              <w:rPr>
                <w:rFonts w:ascii="Tahoma" w:hAnsi="Tahoma"/>
                <w:sz w:val="16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Од укупног броја домаћинстава предвиђених за анкетирање у четвртом кварталу 2017. (2214 за Републику Србију), анкетирано је 1599 домаћинстaвa (72%).</w:t>
            </w:r>
          </w:p>
          <w:p>
            <w:pPr>
              <w:jc w:val="both"/>
              <w:rPr>
                <w:rFonts w:ascii="Tahoma" w:hAnsi="Tahoma"/>
                <w:sz w:val="10"/>
              </w:rPr>
            </w:pPr>
          </w:p>
          <w:p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  <w:p>
            <w:pPr>
              <w:jc w:val="both"/>
              <w:rPr>
                <w:rFonts w:ascii="Tahoma" w:hAnsi="Tahoma"/>
                <w:sz w:val="18"/>
              </w:rPr>
            </w:pPr>
          </w:p>
          <w:p>
            <w:pPr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18"/>
              </w:rPr>
              <w:t>Детаљније податке можете наћи у нашем Саопштењу ЛП12 (број 071, од 15.03.2018.) „Приходи у новцу и у натури и лична потрошња домаћинстава, IV квартал 2017. - претходни резултати“ на адреси:</w:t>
            </w:r>
            <w:r>
              <w:t xml:space="preserve"> </w:t>
            </w:r>
            <w:r>
              <w:fldChar w:fldCharType="begin"/>
            </w:r>
            <w:r>
              <w:rPr>
                <w:rFonts w:ascii="Tahoma" w:hAnsi="Tahoma"/>
                <w:sz w:val="18"/>
              </w:rPr>
              <w:instrText xml:space="preserve"> HYPERLINK "http://webrzs.stat.gov.rs/WebSite/Public/PageView.aspx?pKey=23" </w:instrText>
            </w:r>
            <w:r>
              <w:rPr>
                <w:rFonts w:ascii="Tahoma" w:hAnsi="Tahoma"/>
                <w:sz w:val="18"/>
              </w:rPr>
              <w:fldChar w:fldCharType="separate"/>
            </w:r>
            <w:r>
              <w:rPr>
                <w:rStyle w:val="C2"/>
                <w:rFonts w:ascii="Tahoma" w:hAnsi="Tahoma"/>
                <w:sz w:val="18"/>
              </w:rPr>
              <w:t>http://webrzs.stat.gov.rs/WebSite/Pu</w:t>
            </w:r>
            <w:bookmarkStart w:id="0" w:name="_Hlt469472812"/>
            <w:r>
              <w:rPr>
                <w:rStyle w:val="C2"/>
                <w:rFonts w:ascii="Tahoma" w:hAnsi="Tahoma"/>
                <w:sz w:val="18"/>
              </w:rPr>
              <w:t>b</w:t>
            </w:r>
            <w:bookmarkEnd w:id="0"/>
            <w:r>
              <w:rPr>
                <w:rStyle w:val="C2"/>
                <w:rFonts w:ascii="Tahoma" w:hAnsi="Tahoma"/>
                <w:sz w:val="18"/>
              </w:rPr>
              <w:t>lic/Pag</w:t>
            </w:r>
            <w:bookmarkStart w:id="1" w:name="_Hlt477246494"/>
            <w:bookmarkStart w:id="2" w:name="_Hlt477246495"/>
            <w:r>
              <w:rPr>
                <w:rStyle w:val="C2"/>
                <w:rFonts w:ascii="Tahoma" w:hAnsi="Tahoma"/>
                <w:sz w:val="18"/>
              </w:rPr>
              <w:t>e</w:t>
            </w:r>
            <w:bookmarkEnd w:id="1"/>
            <w:bookmarkEnd w:id="2"/>
            <w:r>
              <w:rPr>
                <w:rStyle w:val="C2"/>
                <w:rFonts w:ascii="Tahoma" w:hAnsi="Tahoma"/>
                <w:sz w:val="18"/>
              </w:rPr>
              <w:t>View.aspx?pKey=23</w:t>
            </w:r>
            <w:r>
              <w:rPr>
                <w:rStyle w:val="C2"/>
                <w:rFonts w:ascii="Tahoma" w:hAnsi="Tahoma"/>
                <w:sz w:val="18"/>
              </w:rPr>
              <w:fldChar w:fldCharType="end"/>
            </w:r>
          </w:p>
        </w:tc>
      </w:tr>
    </w:tbl>
    <w:p>
      <w:pPr>
        <w:jc w:val="both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Sz w:w="11907" w:h="16840" w:code="0"/>
      <w:pgMar w:left="907" w:right="907" w:top="357" w:bottom="261" w:header="431" w:footer="567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0368" w:type="dxa"/>
      <w:tblLayout w:type="autofit"/>
    </w:tblPr>
    <w:tblGrid/>
    <w:tr>
      <w:tc>
        <w:tcPr>
          <w:tcW w:w="5328" w:type="dxa"/>
        </w:tcPr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Контакт: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Наташа Мијаковац, руководилац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Групе за статистику потрошње и стандарда становништва 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тел: +381 11 2412- 922, локал 242</w:t>
          </w:r>
        </w:p>
        <w:p>
          <w:pPr>
            <w:jc w:val="both"/>
            <w:rPr>
              <w:rFonts w:ascii="Tahoma" w:hAnsi="Tahoma"/>
              <w:sz w:val="18"/>
            </w:rPr>
          </w:pP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тел: +381 11 2401-284</w:t>
          </w:r>
        </w:p>
        <w:p>
          <w:pPr>
            <w:jc w:val="both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040" w:type="dxa"/>
        </w:tcPr>
        <w:p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20"/>
            </w:rPr>
            <w:t xml:space="preserve">                          Д</w:t>
          </w:r>
          <w:r>
            <w:rPr>
              <w:rFonts w:ascii="Tahoma" w:hAnsi="Tahoma"/>
              <w:sz w:val="18"/>
            </w:rPr>
            <w:t>иректор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18"/>
            </w:rPr>
            <w:t xml:space="preserve">                                      Др Миладин Ковачевић</w:t>
          </w:r>
          <w:r>
            <w:rPr>
              <w:rFonts w:ascii="Tahoma" w:hAnsi="Tahoma"/>
              <w:sz w:val="20"/>
            </w:rPr>
            <w:t xml:space="preserve"> </w:t>
          </w:r>
        </w:p>
      </w:tc>
    </w:tr>
  </w:tbl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29340" w:type="dxa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</w:tcPr>
        <w:p>
          <w:pPr>
            <w:jc w:val="both"/>
            <w:rPr>
              <w:rFonts w:ascii="Tahoma" w:hAnsi="Tahoma"/>
              <w:sz w:val="20"/>
            </w:rPr>
          </w:pPr>
        </w:p>
      </w:tc>
      <w:tc>
        <w:tcPr>
          <w:tcW w:w="4788" w:type="dxa"/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293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5B854AD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3759B74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alloon Text"/>
    <w:basedOn w:val="P0"/>
    <w:next w:val="P4"/>
    <w:pPr/>
    <w:rPr>
      <w:rFonts w:ascii="Tahoma" w:hAnsi="Tahoma"/>
      <w:sz w:val="16"/>
    </w:rPr>
  </w:style>
  <w:style w:type="paragraph" w:styleId="P5">
    <w:name w:val="Car Car"/>
    <w:basedOn w:val="P0"/>
    <w:next w:val="P5"/>
    <w:pPr>
      <w:spacing w:lineRule="exact" w:line="240" w:after="160"/>
    </w:pPr>
    <w:rPr>
      <w:rFonts w:ascii="Verdana" w:hAnsi="Verdana"/>
      <w:i w:val="1"/>
      <w:sz w:val="20"/>
    </w:rPr>
  </w:style>
  <w:style w:type="paragraph" w:styleId="P6">
    <w:name w:val=" Char Char Char Ch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2017-06-15T06:40:00Z</dcterms:created>
  <cp:lastModifiedBy>Nikola Kapetanovic</cp:lastModifiedBy>
  <cp:lastPrinted>2018-03-13T11:37:00Z</cp:lastPrinted>
  <dcterms:modified xsi:type="dcterms:W3CDTF">2020-01-10T11:25:15Z</dcterms:modified>
  <cp:revision>48</cp:revision>
  <dc:title>ДАТУМ</dc:title>
</cp:coreProperties>
</file>