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26FF9B" Type="http://schemas.openxmlformats.org/officeDocument/2006/relationships/officeDocument" Target="/word/document.xml" /><Relationship Id="coreR1C26FF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96" w:type="dxa"/>
          </w:tcPr>
          <w:p>
            <w:pPr>
              <w:jc w:val="right"/>
              <w:rPr>
                <w:rStyle w:val="C3"/>
                <w:rFonts w:ascii="Arial" w:hAnsi="Arial"/>
                <w:color w:val="404040"/>
                <w:sz w:val="20"/>
              </w:rPr>
            </w:pPr>
            <w:r>
              <w:rPr>
                <w:rStyle w:val="C3"/>
                <w:rFonts w:ascii="Arial" w:hAnsi="Arial"/>
                <w:color w:val="404040"/>
                <w:sz w:val="20"/>
              </w:rPr>
              <w:t>05.03.2018.</w:t>
            </w:r>
          </w:p>
        </w:tc>
      </w:tr>
    </w:tbl>
    <w:p>
      <w:pPr>
        <w:pStyle w:val="P5"/>
        <w:spacing w:lineRule="auto" w:line="228" w:before="120" w:after="0" w:beforeAutospacing="0" w:afterAutospacing="0"/>
        <w:ind w:firstLine="357"/>
        <w:jc w:val="both"/>
        <w:rPr>
          <w:rStyle w:val="C3"/>
          <w:rFonts w:ascii="Arial" w:hAnsi="Arial"/>
          <w:sz w:val="28"/>
        </w:rPr>
      </w:pPr>
    </w:p>
    <w:p>
      <w:pPr>
        <w:spacing w:before="80" w:after="120"/>
        <w:jc w:val="center"/>
        <w:rPr>
          <w:rStyle w:val="C10"/>
          <w:rFonts w:ascii="Arial" w:hAnsi="Arial"/>
          <w:b w:val="0"/>
          <w:color w:val="2E74B5"/>
          <w:sz w:val="28"/>
        </w:rPr>
      </w:pPr>
      <w:r>
        <w:rPr>
          <w:rStyle w:val="C10"/>
          <w:rFonts w:ascii="Arial" w:hAnsi="Arial"/>
          <w:b w:val="1"/>
          <w:color w:val="2E74B5"/>
          <w:sz w:val="28"/>
        </w:rPr>
        <w:t xml:space="preserve">Анкета о радној снази, </w:t>
      </w:r>
      <w:r>
        <w:rPr>
          <w:rStyle w:val="C10"/>
          <w:rFonts w:ascii="Arial" w:hAnsi="Arial"/>
          <w:b w:val="1"/>
          <w:color w:val="2E74B5"/>
          <w:sz w:val="28"/>
        </w:rPr>
        <w:t>I</w:t>
      </w:r>
      <w:r>
        <w:rPr>
          <w:rStyle w:val="C10"/>
          <w:rFonts w:ascii="Arial" w:hAnsi="Arial"/>
          <w:b w:val="1"/>
          <w:color w:val="2E74B5"/>
          <w:sz w:val="28"/>
        </w:rPr>
        <w:t>V</w:t>
      </w:r>
      <w:r>
        <w:rPr>
          <w:rStyle w:val="C10"/>
          <w:rFonts w:ascii="Arial" w:hAnsi="Arial"/>
          <w:b w:val="1"/>
          <w:color w:val="2E74B5"/>
          <w:sz w:val="28"/>
        </w:rPr>
        <w:t xml:space="preserve"> квартал 201</w:t>
      </w:r>
      <w:r>
        <w:rPr>
          <w:rStyle w:val="C10"/>
          <w:rFonts w:ascii="Arial" w:hAnsi="Arial"/>
          <w:b w:val="1"/>
          <w:color w:val="2E74B5"/>
          <w:sz w:val="28"/>
        </w:rPr>
        <w:t>7</w:t>
      </w:r>
      <w:r>
        <w:rPr>
          <w:rStyle w:val="C10"/>
          <w:rFonts w:ascii="Arial" w:hAnsi="Arial"/>
          <w:b w:val="1"/>
          <w:color w:val="2E74B5"/>
          <w:sz w:val="28"/>
        </w:rPr>
        <w:t>.</w:t>
      </w:r>
    </w:p>
    <w:p>
      <w:pPr>
        <w:spacing w:before="80" w:after="120"/>
        <w:jc w:val="center"/>
        <w:rPr>
          <w:rStyle w:val="C3"/>
          <w:rFonts w:ascii="Arial" w:hAnsi="Arial"/>
          <w:b w:val="1"/>
          <w:color w:val="5B9BD5"/>
          <w:sz w:val="32"/>
        </w:rPr>
      </w:pPr>
    </w:p>
    <w:p>
      <w:pPr>
        <w:spacing w:lineRule="auto" w:line="300" w:before="24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У четвртом кварталу 2017. године број запослених износи 2.763.600, а број незапослених 475.600. Стопа запослености популације старости 15 и више година износи 46,3%, стопа незапослености 14,7%, што даје стопу активности од 54,2%, док је стопа неактивности 45,8%.</w:t>
      </w:r>
    </w:p>
    <w:p>
      <w:pPr>
        <w:spacing w:before="240"/>
        <w:jc w:val="center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color w:val="323232"/>
          <w:sz w:val="20"/>
        </w:rPr>
        <w:t>Граф</w:t>
      </w:r>
      <w:r>
        <w:rPr>
          <w:rStyle w:val="C3"/>
          <w:rFonts w:ascii="Arial" w:hAnsi="Arial"/>
          <w:b w:val="1"/>
          <w:color w:val="323232"/>
          <w:sz w:val="20"/>
        </w:rPr>
        <w:t>.</w:t>
      </w:r>
      <w:r>
        <w:rPr>
          <w:rStyle w:val="C3"/>
          <w:rFonts w:ascii="Arial" w:hAnsi="Arial"/>
          <w:b w:val="1"/>
          <w:color w:val="323232"/>
          <w:sz w:val="20"/>
        </w:rPr>
        <w:t xml:space="preserve"> 1.</w:t>
      </w:r>
      <w:r>
        <w:rPr>
          <w:rStyle w:val="C3"/>
          <w:rFonts w:ascii="Arial" w:hAnsi="Arial"/>
          <w:color w:val="323232"/>
          <w:sz w:val="20"/>
        </w:rPr>
        <w:t xml:space="preserve"> </w:t>
      </w:r>
      <w:r>
        <w:rPr>
          <w:rStyle w:val="C3"/>
          <w:rFonts w:ascii="Arial" w:hAnsi="Arial"/>
          <w:color w:val="000000"/>
          <w:sz w:val="20"/>
        </w:rPr>
        <w:t>Кретање стопе запослености/незапослености становништва старости 15 и више год.,</w:t>
        <w:br w:type="textWrapping"/>
        <w:t>2014‒2017. (%)</w:t>
      </w:r>
    </w:p>
    <w:p>
      <w:pPr>
        <w:spacing w:before="240"/>
        <w:jc w:val="center"/>
        <w:rPr>
          <w:rStyle w:val="C3"/>
          <w:rFonts w:ascii="Arial" w:hAnsi="Arial"/>
          <w:sz w:val="20"/>
        </w:rPr>
      </w:pPr>
      <w:r>
        <w:drawing>
          <wp:inline xmlns:wp="http://schemas.openxmlformats.org/drawingml/2006/wordprocessingDrawing">
            <wp:extent cx="6458585" cy="223012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22301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00" w:before="24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активности</w:t>
      </w:r>
      <w:r>
        <w:rPr>
          <w:rStyle w:val="C3"/>
          <w:rFonts w:ascii="Arial" w:hAnsi="Arial"/>
          <w:sz w:val="20"/>
        </w:rPr>
        <w:t xml:space="preserve"> становништва старости 15 и више година износи 54,2%, при чему је стопа активности код мушкараца 62,8%, а код жена 46,2%. Највећа стопа активности је у Београдском региону (56,3%) и у Региону Шумадије и Западне Србије (56,1%). У Региону Војводине ова стопа износи 52,5%, а најнижу вредност има у Региону Јужне и Источне Србије (51,5%).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запослености</w:t>
      </w:r>
      <w:r>
        <w:rPr>
          <w:rStyle w:val="C3"/>
          <w:rFonts w:ascii="Arial" w:hAnsi="Arial"/>
          <w:sz w:val="20"/>
        </w:rPr>
        <w:t xml:space="preserve"> становништва старости 15 и више година износи 46,3%, при чему је стопа запослености код мушкараца 54,0%, а код жена 39,1%. Највећа стопа запослености је у Београдском региону (48,3%), затим у Региону Шумадије и Западне Србије (47,6%). У Региону Војводине ова стопа износи 45,6%, а најнижу вредност има у Региону Јужне и Источне Србије (43,1%).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неформалне запослености</w:t>
      </w:r>
      <w:r>
        <w:rPr>
          <w:rStyle w:val="C3"/>
          <w:rFonts w:ascii="Arial" w:hAnsi="Arial"/>
          <w:sz w:val="20"/>
        </w:rPr>
        <w:t xml:space="preserve"> на нивоу свих делатности износи 19,8%, при чему готово две трећине неформалног сектора чини запосленост у пољопривредним делатностима. 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b w:val="1"/>
          <w:sz w:val="20"/>
        </w:rPr>
      </w:pPr>
      <w:r>
        <w:rPr>
          <w:rStyle w:val="C3"/>
          <w:rFonts w:ascii="Arial" w:hAnsi="Arial"/>
          <w:b w:val="1"/>
          <w:sz w:val="20"/>
        </w:rPr>
        <w:t>Стопа незапослености</w:t>
      </w:r>
      <w:r>
        <w:rPr>
          <w:rStyle w:val="C3"/>
          <w:rFonts w:ascii="Arial" w:hAnsi="Arial"/>
          <w:sz w:val="20"/>
        </w:rPr>
        <w:t xml:space="preserve"> становништва старости 15 и више година износи 14,7%,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sz w:val="20"/>
        </w:rPr>
        <w:t>и то 14,1% за мушко и 15,4% за женско становништво. Посматрано по регионима, ова стопа је највећа у Региону Јужне и Источне Србије (16,4%). У Региону Шумадије и Западне Србије она износи 15,1%, а у Београдском региону 14,3%. Стопа незапослености је најмања у Региону Војводине (13,2%).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b w:val="1"/>
          <w:sz w:val="20"/>
        </w:rPr>
      </w:pPr>
    </w:p>
    <w:p>
      <w:pPr>
        <w:spacing w:lineRule="auto" w:line="300" w:after="240"/>
        <w:ind w:firstLine="403"/>
        <w:jc w:val="both"/>
        <w:rPr>
          <w:rStyle w:val="C9"/>
          <w:rFonts w:ascii="Arial" w:hAnsi="Arial"/>
          <w:i w:val="0"/>
          <w:color w:val="2E74B5"/>
          <w:sz w:val="22"/>
        </w:rPr>
      </w:pPr>
    </w:p>
    <w:p>
      <w:pPr>
        <w:spacing w:lineRule="auto" w:line="300" w:after="240"/>
        <w:ind w:firstLine="403"/>
        <w:jc w:val="both"/>
        <w:rPr>
          <w:rStyle w:val="C9"/>
          <w:rFonts w:ascii="Arial" w:hAnsi="Arial"/>
          <w:i w:val="0"/>
          <w:color w:val="2E74B5"/>
          <w:sz w:val="22"/>
        </w:rPr>
      </w:pPr>
    </w:p>
    <w:p>
      <w:pPr>
        <w:spacing w:lineRule="auto" w:line="300" w:after="240"/>
        <w:ind w:firstLine="403"/>
        <w:jc w:val="both"/>
        <w:rPr>
          <w:rStyle w:val="C9"/>
          <w:rFonts w:ascii="Arial" w:hAnsi="Arial"/>
          <w:i w:val="0"/>
          <w:color w:val="2E74B5"/>
          <w:sz w:val="22"/>
        </w:rPr>
      </w:pPr>
      <w:r>
        <w:rPr>
          <w:rStyle w:val="C9"/>
          <w:rFonts w:ascii="Arial" w:hAnsi="Arial"/>
          <w:i w:val="1"/>
          <w:color w:val="2E74B5"/>
          <w:sz w:val="22"/>
        </w:rPr>
        <w:t>Поређење са претходним кварталом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У односу на трећи квартал 2017. године, запосленост је смањена за 118.300, при чему је 86% тог смањења концентрисано у секторима делатности Пољопривреда, шумарство и рибарствo и Домаћинства која производе робу и услуге због сезонског карактера тих послова. Смањење запослености одразило се на стопу запослености, која је за 1,9 процентних поена (п. п.) мања него у претходном кварталу. Услед смањења запослености дошло је до пораста броја незапослених (за 47.400) и неактивних лица (за 63.900), при чему су мушкарци статус запослених углавном заменили за статус незапослених, док су жене које су остале без посла у највећем броју случајева постале неактивне. Стопа незапослености већа је за 1,7 п. п. а стопа неактивности за 1,1 п. п.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Сличан тренд смањења запослености уз пораст незапослености и неактивности, који је забележен на нивоу целе популације, захватио је и младе узраста 15‒24 године, код којих је стопа запослености смањена за 2,3 п. п. уз повећање стопе незапослености за 4,5 п. п. и стопе неактивности за 1,2 п. п.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Београдски регион је, у поређењу са осталим регионима, „претрпео“ најмањи губитак послова, што не изненађује ако се има у виду сезонски карактер пољопривредних послова, који су се „угасили“ током зимских месеци, а који су најмање заступљени у овом региону. Стога Београдски регион има најбољe резултатe на тржишту рада, за разлику од Региона Јужне и Источне Србије, где је стопа запослености најмања а стопе незапослености и неактивности највеће у поређењу са свим осталим регионима. </w:t>
      </w:r>
    </w:p>
    <w:p>
      <w:pPr>
        <w:spacing w:lineRule="auto" w:line="300" w:before="240" w:after="120"/>
        <w:ind w:firstLine="403"/>
        <w:jc w:val="both"/>
        <w:rPr>
          <w:rStyle w:val="C9"/>
          <w:rFonts w:ascii="Arial" w:hAnsi="Arial"/>
          <w:i w:val="0"/>
          <w:color w:val="2E74B5"/>
          <w:sz w:val="22"/>
        </w:rPr>
      </w:pPr>
      <w:r>
        <w:rPr>
          <w:rStyle w:val="C9"/>
          <w:rFonts w:ascii="Arial" w:hAnsi="Arial"/>
          <w:i w:val="1"/>
          <w:color w:val="2E74B5"/>
          <w:sz w:val="22"/>
        </w:rPr>
        <w:t xml:space="preserve">Поређење са истим периодом </w:t>
      </w:r>
      <w:r>
        <w:rPr>
          <w:rStyle w:val="C9"/>
          <w:rFonts w:ascii="Arial" w:hAnsi="Arial"/>
          <w:i w:val="1"/>
          <w:color w:val="2E74B5"/>
          <w:sz w:val="22"/>
        </w:rPr>
        <w:t>прошле</w:t>
      </w:r>
      <w:r>
        <w:rPr>
          <w:rStyle w:val="C9"/>
          <w:rFonts w:ascii="Arial" w:hAnsi="Arial"/>
          <w:i w:val="1"/>
          <w:color w:val="2E74B5"/>
          <w:sz w:val="22"/>
        </w:rPr>
        <w:t xml:space="preserve"> године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У односу на четврти квартал 2016. године, повећана је и запосленост, за 32.200, и незапосленост, за 65.700 лица. Стопа запослености већа је за 0,8 п. п. а стопа незапослености за 1,6 п. п.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Унутар укупне запослености, која је већа за 32.200, дошло је до смањења неформалне запослености за 24.300 и повећања формалне запослености за 56.500. Раст формалне запослености је готово идентичан расту регистроване запослености, која је према евиденцији Централног регистра обавезног социјалног осигурања у истом периоду повећана за 56.400. 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Запослење су нашла махом лица старости од 25 до 44 године из Београдског региона и Региона Војводине, и то у секторима делатности Прерађивачка индустрија, Саобраћај и складиштење, Информисање и комуникације. 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До смањења запослености, уз повећање незапослености, дошло је једино у Региону Јужне и Источне Србије.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Стопа неформалне запослености је смањена и износи 19,8% а број неформално запослених лица је 546.400. Ако се томе дода још 172.800 формално запослених лица која не остварују право ни на здравствено ни на пензијско осигурање и која према строжој дефиницији формалне/неформалне запослености не припадају категорији формално запослених, број неформално запослених је 719.200 а стопа неформалне запослености износи 26%.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На резултате на тржишту рада не утичу само кретања запослености и незапослености, већ и демографски трендови, који су нарочито неповољни када је реч о популацији узраста 15‒24 године. Наиме, број младих је у односу на исти период прошле године мањи за 15.100, што представља половину укупног смањења целе популације. Поред тога, код њих није дошло до битнијих промена у броју запослених, док је број незапослених већи за 8.600 а стопа незапослености већа за 2,1 п. п. Резултат таквих трендова је стопа запослености од 21,4% и стопа незапослености од 33,3%. Стопа NEET, која представља удео младих који нити раде нити се школују у укупној популацији младих од 15 до 24 године,  већа је за 1,1 п. п. у односу на исти период претходне године и износи 17,6%.</w:t>
      </w:r>
    </w:p>
    <w:p>
      <w:pPr>
        <w:spacing w:lineRule="auto" w:line="276" w:after="60"/>
        <w:jc w:val="center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color w:val="323232"/>
          <w:sz w:val="20"/>
        </w:rPr>
        <w:br w:type="page"/>
      </w:r>
      <w:r>
        <w:rPr>
          <w:rStyle w:val="C3"/>
          <w:rFonts w:ascii="Arial" w:hAnsi="Arial"/>
          <w:b w:val="1"/>
          <w:color w:val="323232"/>
          <w:sz w:val="20"/>
        </w:rPr>
        <w:t xml:space="preserve">Табела </w:t>
      </w:r>
      <w:r>
        <w:rPr>
          <w:rStyle w:val="C3"/>
          <w:rFonts w:ascii="Arial" w:hAnsi="Arial"/>
          <w:b w:val="1"/>
          <w:color w:val="323232"/>
          <w:sz w:val="20"/>
        </w:rPr>
        <w:t>1.</w:t>
      </w:r>
      <w:r>
        <w:rPr>
          <w:rStyle w:val="C3"/>
          <w:rFonts w:ascii="Arial" w:hAnsi="Arial"/>
          <w:color w:val="323232"/>
          <w:sz w:val="20"/>
        </w:rPr>
        <w:t xml:space="preserve"> Основни показатељи кретања на тржишту рада</w:t>
      </w:r>
      <w:r>
        <w:rPr>
          <w:rStyle w:val="C3"/>
          <w:rFonts w:ascii="Arial" w:hAnsi="Arial"/>
          <w:color w:val="000000"/>
          <w:sz w:val="20"/>
        </w:rPr>
        <w:t>, IV квартал 2017.</w:t>
      </w:r>
    </w:p>
    <w:tbl>
      <w:tblPr>
        <w:tblStyle w:val="T2"/>
        <w:tblW w:w="8699" w:type="dxa"/>
        <w:jc w:val="center"/>
        <w:tblInd w:w="108" w:type="dxa"/>
        <w:tblLayout w:type="autofit"/>
      </w:tblPr>
      <w:tblGrid/>
      <w:tr>
        <w:trPr>
          <w:wAfter w:w="0" w:type="dxa"/>
          <w:trHeight w:hRule="atLeast" w:val="587"/>
        </w:trPr>
        <w:tc>
          <w:tcPr>
            <w:tcW w:w="3617" w:type="dxa"/>
            <w:vMerge w:val="restart"/>
            <w:tcBorders>
              <w:top w:val="single" w:sz="8" w:space="0" w:shadow="0" w:frame="0" w:color="0C5498"/>
              <w:left w:val="single" w:sz="8" w:space="0" w:shadow="0" w:frame="0" w:color="0C5498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51" w:type="dxa"/>
            <w:tcBorders>
              <w:top w:val="single" w:sz="8" w:space="0" w:shadow="0" w:frame="0" w:color="0C5498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 xml:space="preserve">IV квартал 2017 </w:t>
            </w:r>
          </w:p>
        </w:tc>
        <w:tc>
          <w:tcPr>
            <w:tcW w:w="2012" w:type="dxa"/>
            <w:gridSpan w:val="2"/>
            <w:tcBorders>
              <w:top w:val="single" w:sz="8" w:space="0" w:shadow="0" w:frame="0" w:color="0C5498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shadow="0" w:frame="0" w:color="0C5498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Промене у односу на исти квартал претходне године</w:t>
            </w:r>
          </w:p>
        </w:tc>
      </w:tr>
      <w:tr>
        <w:trPr>
          <w:wAfter w:w="0" w:type="dxa"/>
          <w:trHeight w:hRule="atLeast" w:val="273"/>
        </w:trPr>
        <w:tc>
          <w:tcPr>
            <w:tcW w:w="3617" w:type="dxa"/>
            <w:vMerge w:val="continue"/>
            <w:tcBorders>
              <w:top w:val="single" w:sz="8" w:space="0" w:shadow="0" w:frame="0" w:color="0C5498"/>
              <w:left w:val="single" w:sz="8" w:space="0" w:shadow="0" w:frame="0" w:color="0C5498"/>
              <w:bottom w:val="single" w:sz="8" w:space="0" w:shadow="0" w:frame="0" w:color="0C5498"/>
              <w:right w:val="single" w:sz="8" w:space="0" w:shadow="0" w:frame="0" w:color="0C5498"/>
            </w:tcBorders>
            <w:shd w:val="nil" w:color="auto" w:fill="auto"/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(у хиљ.)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(у хиљ.)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%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(у хиљ.)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%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b w:val="1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6"/>
              </w:rPr>
              <w:t> 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color w:val="000000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color w:val="000000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 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b w:val="1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6"/>
              </w:rPr>
              <w:t>Укупно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5974,2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-7,0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-0,1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-30,1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1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-0,5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Активни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3239,2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-70,9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-2,1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97,9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3,1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Запослени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2763,6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-118,3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-4,1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32,2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1,2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 xml:space="preserve">    Формално запослени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2217,2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-36,3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56,5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2,6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 xml:space="preserve">    Неформално запослени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546,4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-81,9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-13,0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-24,3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-4,2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Незапослени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475,6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47,4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65,7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16,0</w:t>
            </w:r>
          </w:p>
        </w:tc>
      </w:tr>
      <w:tr>
        <w:trPr>
          <w:wAfter w:w="0" w:type="dxa"/>
          <w:trHeight w:hRule="atLeast" w:val="273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Неактивни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2735,0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63,9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2,4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-128,0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-4,5</w:t>
            </w:r>
          </w:p>
        </w:tc>
      </w:tr>
      <w:tr>
        <w:trPr>
          <w:wAfter w:w="0" w:type="dxa"/>
          <w:trHeight w:hRule="atLeast" w:val="273"/>
        </w:trPr>
        <w:tc>
          <w:tcPr>
            <w:tcW w:w="3617" w:type="dxa"/>
            <w:tcBorders>
              <w:top w:val="single" w:sz="8" w:space="0" w:shadow="0" w:frame="0" w:color="0C5498"/>
              <w:left w:val="single" w:sz="8" w:space="0" w:shadow="0" w:frame="0" w:color="0C5498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 </w:t>
            </w:r>
          </w:p>
        </w:tc>
        <w:tc>
          <w:tcPr>
            <w:tcW w:w="1051" w:type="dxa"/>
            <w:tcBorders>
              <w:top w:val="single" w:sz="8" w:space="0" w:shadow="0" w:frame="0" w:color="0C5498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1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6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shadow="0" w:frame="0" w:color="0C5498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(п.п.)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Стопа активности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54,2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1,9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Стопа запослености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46,3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0,8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19,8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-2,0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-1,1</w:t>
            </w:r>
          </w:p>
        </w:tc>
      </w:tr>
      <w:tr>
        <w:trPr>
          <w:wAfter w:w="0" w:type="dxa"/>
          <w:trHeight w:hRule="atLeast" w:val="260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Стопа незапослености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14,7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1,7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1,6</w:t>
            </w:r>
          </w:p>
        </w:tc>
      </w:tr>
      <w:tr>
        <w:trPr>
          <w:wAfter w:w="0" w:type="dxa"/>
          <w:trHeight w:hRule="atLeast" w:val="273"/>
        </w:trPr>
        <w:tc>
          <w:tcPr>
            <w:tcW w:w="3617" w:type="dxa"/>
            <w:tcBorders>
              <w:top w:val="none" w:sz="0" w:space="0" w:shadow="0" w:frame="0"/>
              <w:left w:val="single" w:sz="8" w:space="0" w:shadow="0" w:frame="0" w:color="0C5498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rPr>
                <w:rStyle w:val="C3"/>
                <w:rFonts w:ascii="Arial" w:hAnsi="Arial"/>
                <w:color w:val="000000"/>
                <w:sz w:val="16"/>
              </w:rPr>
            </w:pPr>
            <w:r>
              <w:rPr>
                <w:rStyle w:val="C3"/>
                <w:rFonts w:ascii="Arial" w:hAnsi="Arial"/>
                <w:color w:val="000000"/>
                <w:sz w:val="16"/>
              </w:rPr>
              <w:t>Стопа неактивности</w:t>
            </w:r>
          </w:p>
        </w:tc>
        <w:tc>
          <w:tcPr>
            <w:tcW w:w="10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45,8</w:t>
            </w:r>
          </w:p>
        </w:tc>
        <w:tc>
          <w:tcPr>
            <w:tcW w:w="107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 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 </w:t>
            </w:r>
          </w:p>
        </w:tc>
        <w:tc>
          <w:tcPr>
            <w:tcW w:w="77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 w:color="0C5498"/>
              <w:right w:val="single" w:sz="8" w:space="0" w:shadow="0" w:frame="0" w:color="0C5498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-1,9</w:t>
            </w:r>
          </w:p>
        </w:tc>
      </w:tr>
    </w:tbl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Детаљнији подаци могу се наћи у саопштењу Анкета о радној снази у Републици Србији, IV квартал 2017. (РС10), на адреси: </w:t>
      </w:r>
      <w:r>
        <w:rPr>
          <w:rStyle w:val="C3"/>
          <w:rFonts w:ascii="Arial" w:hAnsi="Arial"/>
          <w:sz w:val="20"/>
        </w:rPr>
        <w:fldChar w:fldCharType="begin"/>
      </w:r>
      <w:r>
        <w:rPr>
          <w:rStyle w:val="C3"/>
          <w:rFonts w:ascii="Arial" w:hAnsi="Arial"/>
          <w:sz w:val="20"/>
        </w:rPr>
        <w:instrText xml:space="preserve"> HYPERLINK "http://webrzs.stat.gov.rs/WebSite/Public/PageView.aspx?pKey=26" </w:instrText>
      </w:r>
      <w:r>
        <w:rPr>
          <w:rStyle w:val="C3"/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</w:t>
      </w:r>
      <w:bookmarkStart w:id="0" w:name="_Hlt499276426"/>
      <w:bookmarkStart w:id="1" w:name="_Hlt499276427"/>
      <w:r>
        <w:rPr>
          <w:rStyle w:val="C2"/>
          <w:rFonts w:ascii="Arial" w:hAnsi="Arial"/>
          <w:sz w:val="20"/>
        </w:rPr>
        <w:t>i</w:t>
      </w:r>
      <w:bookmarkEnd w:id="0"/>
      <w:bookmarkEnd w:id="1"/>
      <w:r>
        <w:rPr>
          <w:rStyle w:val="C2"/>
          <w:rFonts w:ascii="Arial" w:hAnsi="Arial"/>
          <w:sz w:val="20"/>
        </w:rPr>
        <w:t>te/Public/Pag</w:t>
      </w:r>
      <w:bookmarkStart w:id="2" w:name="_Hlt460241714"/>
      <w:bookmarkStart w:id="3" w:name="_Hlt460241715"/>
      <w:r>
        <w:rPr>
          <w:rStyle w:val="C2"/>
          <w:rFonts w:ascii="Arial" w:hAnsi="Arial"/>
          <w:sz w:val="20"/>
        </w:rPr>
        <w:t>e</w:t>
      </w:r>
      <w:bookmarkEnd w:id="2"/>
      <w:bookmarkEnd w:id="3"/>
      <w:r>
        <w:rPr>
          <w:rStyle w:val="C2"/>
          <w:rFonts w:ascii="Arial" w:hAnsi="Arial"/>
          <w:sz w:val="20"/>
        </w:rPr>
        <w:t>View.aspx?pKey=26</w:t>
      </w:r>
      <w:r>
        <w:rPr>
          <w:rStyle w:val="C2"/>
          <w:rFonts w:ascii="Arial" w:hAnsi="Arial"/>
          <w:sz w:val="20"/>
        </w:rPr>
        <w:fldChar w:fldCharType="end"/>
      </w:r>
      <w:r>
        <w:rPr>
          <w:rStyle w:val="C3"/>
          <w:rFonts w:ascii="Arial" w:hAnsi="Arial"/>
          <w:sz w:val="20"/>
        </w:rPr>
        <w:t>.</w:t>
      </w:r>
    </w:p>
    <w:p>
      <w:pPr>
        <w:spacing w:before="240" w:after="120"/>
        <w:ind w:firstLine="360"/>
        <w:jc w:val="both"/>
        <w:rPr>
          <w:rStyle w:val="C9"/>
          <w:rFonts w:ascii="Arial" w:hAnsi="Arial"/>
          <w:i w:val="0"/>
          <w:color w:val="2E74B5"/>
          <w:sz w:val="22"/>
        </w:rPr>
      </w:pPr>
      <w:r>
        <w:rPr>
          <w:rStyle w:val="C9"/>
          <w:rFonts w:ascii="Arial" w:hAnsi="Arial"/>
          <w:i w:val="1"/>
          <w:color w:val="2E74B5"/>
          <w:sz w:val="22"/>
        </w:rPr>
        <w:t>Методолошке напомене</w:t>
      </w:r>
    </w:p>
    <w:p>
      <w:pPr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Анкета о радној снази је најобухватнији и једини међународно упоредиви инструмент за праћење кретања на тржишту рада. Њом се региструју демографске и социоекономске карактеристике становништва старијег од 15 година. Главни циљ овог истраживања јесте оцењивање обима радне снаге, тј. запосленог и незапосленог становништва, при чему се под запосленошћу подразумева рад како у формалном, тако и у неформалном сектору.</w:t>
      </w:r>
    </w:p>
    <w:p>
      <w:pPr>
        <w:pStyle w:val="P5"/>
        <w:spacing w:lineRule="auto" w:line="288" w:beforeAutospacing="0" w:afterAutospacing="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Анкетом је било обухваћено 15.592 домаћинства, од чега је анкетирано 12.434 домаћинства, тј. 29.454 лица старости 15 и више година.</w:t>
      </w:r>
    </w:p>
    <w:p>
      <w:pPr>
        <w:pStyle w:val="P3"/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Р</w:t>
      </w:r>
      <w:r>
        <w:rPr>
          <w:rStyle w:val="C3"/>
          <w:rFonts w:ascii="Arial" w:hAnsi="Arial"/>
          <w:b w:val="1"/>
          <w:sz w:val="20"/>
        </w:rPr>
        <w:t>адну снагу (активно становништво)</w:t>
      </w:r>
      <w:r>
        <w:rPr>
          <w:rStyle w:val="C3"/>
          <w:rFonts w:ascii="Arial" w:hAnsi="Arial"/>
          <w:sz w:val="20"/>
        </w:rPr>
        <w:t xml:space="preserve"> чине сва запослена и незапослена лица старости 15 и више година. </w:t>
      </w:r>
    </w:p>
    <w:p>
      <w:pPr>
        <w:pStyle w:val="P3"/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активности</w:t>
      </w:r>
      <w:r>
        <w:rPr>
          <w:rStyle w:val="C3"/>
          <w:rFonts w:ascii="Arial" w:hAnsi="Arial"/>
          <w:sz w:val="20"/>
        </w:rPr>
        <w:t xml:space="preserve"> представља удео радне снаге у укупном становништву старом 15 и више година.</w:t>
      </w:r>
    </w:p>
    <w:p>
      <w:pPr>
        <w:pStyle w:val="P3"/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запослености</w:t>
      </w:r>
      <w:r>
        <w:rPr>
          <w:rStyle w:val="C3"/>
          <w:rFonts w:ascii="Arial" w:hAnsi="Arial"/>
          <w:sz w:val="20"/>
        </w:rPr>
        <w:t xml:space="preserve"> представља удео запослених лица у укупном становништву старом 15 и више година.</w:t>
      </w:r>
    </w:p>
    <w:p>
      <w:pPr>
        <w:pStyle w:val="P3"/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незапослености</w:t>
      </w:r>
      <w:r>
        <w:rPr>
          <w:rStyle w:val="C3"/>
          <w:rFonts w:ascii="Arial" w:hAnsi="Arial"/>
          <w:sz w:val="20"/>
        </w:rPr>
        <w:t xml:space="preserve"> представља удео незапослених лица у радној снази.</w:t>
      </w:r>
    </w:p>
    <w:p>
      <w:pPr>
        <w:spacing w:lineRule="auto" w:line="288" w:before="100" w:after="10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b w:val="1"/>
          <w:sz w:val="20"/>
        </w:rPr>
        <w:t>Стопа неформалне запослености</w:t>
      </w:r>
      <w:r>
        <w:rPr>
          <w:rStyle w:val="C3"/>
          <w:rFonts w:ascii="Arial" w:hAnsi="Arial"/>
          <w:sz w:val="20"/>
        </w:rPr>
        <w:t xml:space="preserve"> представља удео запослених (1) у нерегистрованим фирмама, (2) у регистрованим фирмама али без формалног уговора o раду, (3) као и помажућих чланова домаћинства, у укупној запослености.     </w:t>
      </w:r>
    </w:p>
    <w:p>
      <w:pPr>
        <w:spacing w:lineRule="auto" w:line="300" w:before="120" w:after="120"/>
        <w:ind w:firstLine="40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default" r:id="RelFtr1"/>
      <w:type w:val="nextPage"/>
      <w:pgMar w:left="1077" w:right="1077" w:top="284" w:bottom="284" w:header="431" w:footer="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rPr>
        <w:wAfter w:w="0" w:type="dxa"/>
      </w:trPr>
      <w:tc>
        <w:tcPr>
          <w:tcW w:w="10081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spacing w:before="120"/>
                  <w:jc w:val="both"/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Весна Пантелић, начелник</w:t>
                </w:r>
              </w:p>
              <w:p>
                <w:pPr>
                  <w:tabs>
                    <w:tab w:val="left" w:pos="4128" w:leader="none"/>
                  </w:tabs>
                  <w:jc w:val="both"/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Одељење за статистику тржишта рада</w:t>
                  <w:tab/>
                </w:r>
              </w:p>
              <w:p>
                <w:pPr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Тел.: +381 11 2413 571</w:t>
                </w:r>
              </w:p>
              <w:p>
                <w:pPr>
                  <w:jc w:val="both"/>
                  <w:rPr>
                    <w:rStyle w:val="C3"/>
                    <w:rFonts w:ascii="Tahoma" w:hAnsi="Tahoma"/>
                    <w:color w:val="333333"/>
                    <w:sz w:val="10"/>
                  </w:rPr>
                </w:pPr>
              </w:p>
              <w:p>
                <w:pPr>
                  <w:jc w:val="both"/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Style w:val="C3"/>
                    <w:rFonts w:ascii="Tahoma" w:hAnsi="Tahoma"/>
                    <w:color w:val="333333"/>
                    <w:sz w:val="20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Тел.: +381 11 2401 284</w:t>
                </w:r>
              </w:p>
              <w:p>
                <w:pPr>
                  <w:spacing w:after="120"/>
                  <w:jc w:val="both"/>
                  <w:rPr>
                    <w:rStyle w:val="C3"/>
                    <w:rFonts w:ascii="Tahoma" w:hAnsi="Tahoma"/>
                    <w:sz w:val="22"/>
                  </w:rPr>
                </w:pPr>
                <w:r>
                  <w:rPr>
                    <w:rStyle w:val="C3"/>
                    <w:rFonts w:ascii="Tahoma" w:hAnsi="Tahoma"/>
                    <w:color w:val="333333"/>
                    <w:sz w:val="20"/>
                  </w:rPr>
                  <w:t>stat@stat.gov.rs</w:t>
                </w:r>
              </w:p>
            </w:tc>
            <w:tc>
              <w:tcPr>
                <w:tcW w:w="5400" w:type="dxa"/>
              </w:tcPr>
              <w:p>
                <w:pPr>
                  <w:spacing w:before="120"/>
                  <w:jc w:val="center"/>
                  <w:rPr>
                    <w:rStyle w:val="C3"/>
                    <w:rFonts w:ascii="Tahoma" w:hAnsi="Tahoma"/>
                    <w:sz w:val="20"/>
                  </w:rPr>
                </w:pPr>
                <w:r>
                  <w:rPr>
                    <w:rStyle w:val="C3"/>
                    <w:rFonts w:ascii="Tahoma" w:hAnsi="Tahoma"/>
                    <w:sz w:val="20"/>
                  </w:rPr>
                  <w:t xml:space="preserve">  Директор</w:t>
                </w:r>
              </w:p>
              <w:p>
                <w:pPr>
                  <w:ind w:left="972"/>
                  <w:jc w:val="both"/>
                  <w:rPr>
                    <w:rStyle w:val="C3"/>
                    <w:rFonts w:ascii="Tahoma" w:hAnsi="Tahoma"/>
                    <w:color w:val="808080"/>
                    <w:sz w:val="20"/>
                  </w:rPr>
                </w:pPr>
                <w:r>
                  <w:rPr>
                    <w:rStyle w:val="C3"/>
                    <w:rFonts w:ascii="Tahoma" w:hAnsi="Tahoma"/>
                    <w:sz w:val="20"/>
                  </w:rPr>
                  <w:t xml:space="preserve">        Др Миладин Ковачевић</w:t>
                </w:r>
              </w:p>
              <w:p>
                <w:pPr>
                  <w:jc w:val="both"/>
                  <w:rPr>
                    <w:rStyle w:val="C3"/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Style w:val="C3"/>
              <w:rFonts w:ascii="Tahoma" w:hAnsi="Tahoma"/>
              <w:color w:val="333333"/>
              <w:sz w:val="22"/>
            </w:rPr>
          </w:pPr>
        </w:p>
      </w:tc>
      <w:tc>
        <w:tcPr>
          <w:tcW w:w="221" w:type="dxa"/>
        </w:tcPr>
        <w:p>
          <w:pPr>
            <w:rPr>
              <w:rStyle w:val="C3"/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rPr>
        <w:wAfter w:w="0" w:type="dxa"/>
      </w:trPr>
      <w:tc>
        <w:tcPr>
          <w:tcW w:w="10081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221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Style w:val="C3"/>
              <w:rFonts w:ascii="Tahoma" w:hAnsi="Tahoma"/>
              <w:sz w:val="20"/>
            </w:rPr>
          </w:pPr>
        </w:p>
      </w:tc>
    </w:tr>
  </w:tbl>
  <w:p>
    <w:pPr>
      <w:pStyle w:val="P2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Style w:val="C3"/>
              <w:rFonts w:ascii="Arial" w:hAnsi="Arial"/>
              <w:color w:val="595959"/>
              <w:sz w:val="22"/>
            </w:rPr>
          </w:pPr>
          <w:r>
            <w:drawing>
              <wp:inline xmlns:wp="http://schemas.openxmlformats.org/drawingml/2006/wordprocessingDrawing">
                <wp:extent cx="1564005" cy="70993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C3"/>
              <w:rFonts w:ascii="Arial" w:hAnsi="Arial"/>
              <w:color w:val="595959"/>
              <w:sz w:val="20"/>
            </w:rPr>
            <w:t xml:space="preserve"> </w:t>
          </w:r>
          <w:r>
            <w:rPr>
              <w:rStyle w:val="C3"/>
              <w:rFonts w:ascii="Arial" w:hAnsi="Arial"/>
              <w:color w:val="595959"/>
              <w:sz w:val="22"/>
            </w:rPr>
            <w:t>Република Србија</w:t>
          </w:r>
        </w:p>
        <w:p>
          <w:pPr>
            <w:pStyle w:val="P1"/>
            <w:rPr>
              <w:rStyle w:val="C3"/>
              <w:rFonts w:ascii="Arial" w:hAnsi="Arial"/>
              <w:color w:val="595959"/>
              <w:sz w:val="20"/>
            </w:rPr>
          </w:pPr>
          <w:r>
            <w:rPr>
              <w:rStyle w:val="C3"/>
              <w:rFonts w:ascii="Arial" w:hAnsi="Arial"/>
              <w:color w:val="595959"/>
              <w:sz w:val="22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Style w:val="C3"/>
              <w:rFonts w:ascii="Arial" w:hAnsi="Arial"/>
              <w:b w:val="1"/>
              <w:color w:val="595959"/>
              <w:sz w:val="28"/>
            </w:rPr>
          </w:pPr>
          <w:r>
            <w:rPr>
              <w:rStyle w:val="C3"/>
              <w:rFonts w:ascii="Arial" w:hAnsi="Arial"/>
              <w:b w:val="1"/>
              <w:color w:val="595959"/>
              <w:sz w:val="28"/>
            </w:rPr>
            <w:t>Саопштење за јавност</w:t>
          </w:r>
        </w:p>
        <w:p>
          <w:pPr>
            <w:pStyle w:val="P1"/>
            <w:jc w:val="right"/>
            <w:rPr>
              <w:rStyle w:val="C3"/>
              <w:rFonts w:ascii="Arial" w:hAnsi="Arial"/>
              <w:color w:val="595959"/>
              <w:sz w:val="22"/>
            </w:rPr>
          </w:pPr>
        </w:p>
        <w:p>
          <w:pPr>
            <w:pStyle w:val="P1"/>
            <w:jc w:val="right"/>
            <w:rPr>
              <w:rStyle w:val="C3"/>
              <w:rFonts w:ascii="Arial" w:hAnsi="Arial"/>
              <w:color w:val="595959"/>
              <w:sz w:val="22"/>
            </w:rPr>
          </w:pPr>
          <w:r>
            <w:rPr>
              <w:rStyle w:val="C3"/>
              <w:rFonts w:ascii="Arial" w:hAnsi="Arial"/>
              <w:color w:val="595959"/>
              <w:sz w:val="22"/>
            </w:rPr>
            <w:t>Београд, Милана Ракића 5</w:t>
          </w:r>
        </w:p>
        <w:p>
          <w:pPr>
            <w:pStyle w:val="P1"/>
            <w:jc w:val="right"/>
            <w:rPr>
              <w:rStyle w:val="C3"/>
              <w:rFonts w:ascii="Arial" w:hAnsi="Arial"/>
              <w:color w:val="595959"/>
              <w:sz w:val="22"/>
            </w:rPr>
          </w:pPr>
          <w:r>
            <w:rPr>
              <w:rStyle w:val="C3"/>
              <w:rFonts w:ascii="Arial" w:hAnsi="Arial"/>
              <w:color w:val="595959"/>
              <w:sz w:val="22"/>
            </w:rPr>
            <w:t>Телефон +381 11 2412-922</w:t>
          </w:r>
        </w:p>
        <w:p>
          <w:pPr>
            <w:pStyle w:val="P1"/>
            <w:jc w:val="right"/>
            <w:rPr>
              <w:rStyle w:val="C3"/>
              <w:rFonts w:ascii="Arial" w:hAnsi="Arial"/>
              <w:color w:val="595959"/>
              <w:sz w:val="22"/>
            </w:rPr>
          </w:pPr>
          <w:r>
            <w:rPr>
              <w:rStyle w:val="C3"/>
              <w:rFonts w:ascii="Arial" w:hAnsi="Arial"/>
              <w:color w:val="595959"/>
              <w:sz w:val="22"/>
            </w:rPr>
            <w:t>www.stat.gov.rs</w:t>
          </w:r>
        </w:p>
        <w:p>
          <w:pPr>
            <w:pStyle w:val="P1"/>
            <w:jc w:val="right"/>
            <w:rPr>
              <w:rStyle w:val="C3"/>
              <w:rFonts w:ascii="Arial" w:hAnsi="Arial"/>
              <w:color w:val="595959"/>
              <w:sz w:val="22"/>
            </w:rPr>
          </w:pPr>
          <w:r>
            <w:rPr>
              <w:rStyle w:val="C3"/>
              <w:rFonts w:ascii="Arial" w:hAnsi="Arial"/>
              <w:color w:val="595959"/>
              <w:sz w:val="22"/>
            </w:rPr>
            <w:t>stat@stat.gov.rs</w:t>
          </w:r>
        </w:p>
      </w:tc>
    </w:tr>
  </w:tbl>
  <w:p>
    <w:pPr>
      <w:pStyle w:val="P1"/>
      <w:rPr>
        <w:rStyle w:val="C3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Style w:val="C3"/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Style w:val="C3"/>
              <w:rFonts w:ascii="Tahoma" w:hAnsi="Tahoma"/>
              <w:sz w:val="20"/>
            </w:rPr>
          </w:pPr>
        </w:p>
      </w:tc>
    </w:tr>
  </w:tbl>
  <w:p>
    <w:pPr>
      <w:pStyle w:val="P1"/>
      <w:rPr>
        <w:rStyle w:val="C3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  <w:rPr>
        <w:rStyle w:val="C3"/>
        <w:rFonts w:ascii="Tahoma" w:hAnsi="Tahoma"/>
        <w:sz w:val="22"/>
      </w:rPr>
    </w:pPr>
  </w:p>
  <w:p>
    <w:pPr>
      <w:pStyle w:val="P1"/>
      <w:jc w:val="right"/>
      <w:rPr>
        <w:rStyle w:val="C3"/>
        <w:rFonts w:ascii="Tahoma" w:hAnsi="Tahoma"/>
        <w:sz w:val="22"/>
      </w:rPr>
    </w:pPr>
  </w:p>
  <w:p>
    <w:pPr>
      <w:pStyle w:val="P1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97E60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3098EAD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229E3914"/>
    <w:multiLevelType w:val="hybridMultilevel"/>
    <w:lvl w:ilvl="0" w:tplc="2ACA080F">
      <w:start w:val="1"/>
      <w:numFmt w:val="bullet"/>
      <w:suff w:val="tab"/>
      <w:lvlText w:val="-"/>
      <w:lvlJc w:val="left"/>
      <w:pPr>
        <w:ind w:hanging="360" w:left="720"/>
      </w:pPr>
      <w:rPr>
        <w:rFonts w:ascii="Arial" w:hAnsi="Arial"/>
      </w:rPr>
    </w:lvl>
    <w:lvl w:ilvl="1" w:tplc="79CCBB7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2DFCCD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CA913D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CEB408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348031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78C9AA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9BE524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FD549B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3CD7487B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</w:pPr>
      <w:rPr/>
    </w:lvl>
    <w:lvl w:ilvl="1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abstractNum w:abstractNumId="4">
    <w:nsid w:val="55D9316C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</w:pPr>
      <w:rPr/>
    </w:lvl>
    <w:lvl w:ilvl="1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abstractNum w:abstractNumId="5">
    <w:nsid w:val="77084D08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</w:pPr>
      <w:rPr/>
    </w:lvl>
    <w:lvl w:ilvl="1">
      <w:start w:val="1"/>
      <w:numFmt w:val="lowerLetter"/>
      <w:suff w:val="tab"/>
      <w:lvlText w:val="%2."/>
      <w:lvlJc w:val="left"/>
      <w:pPr>
        <w:ind w:hanging="360" w:left="1364"/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8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 Char Char Char Char"/>
    <w:basedOn w:val="P0"/>
    <w:next w:val="P4"/>
    <w:link w:val="C3"/>
    <w:pPr>
      <w:spacing w:lineRule="exact" w:line="240" w:after="160"/>
    </w:pPr>
    <w:rPr>
      <w:rFonts w:ascii="Verdana" w:hAnsi="Verdana"/>
      <w:i w:val="1"/>
      <w:sz w:val="20"/>
    </w:rPr>
  </w:style>
  <w:style w:type="paragraph" w:styleId="P5">
    <w:name w:val="Normal (Web)"/>
    <w:basedOn w:val="P0"/>
    <w:next w:val="P5"/>
    <w:pPr>
      <w:spacing w:before="100" w:after="100" w:beforeAutospacing="1" w:afterAutospacing="1"/>
    </w:pPr>
    <w:rPr/>
  </w:style>
  <w:style w:type="paragraph" w:styleId="P6">
    <w:name w:val="Balloon Text"/>
    <w:basedOn w:val="P0"/>
    <w:next w:val="P6"/>
    <w:link w:val="C4"/>
    <w:pPr/>
    <w:rPr>
      <w:rFonts w:ascii="Segoe UI" w:hAnsi="Segoe UI"/>
      <w:sz w:val="18"/>
    </w:rPr>
  </w:style>
  <w:style w:type="paragraph" w:styleId="P7">
    <w:name w:val="Footnote Text"/>
    <w:basedOn w:val="P0"/>
    <w:next w:val="P7"/>
    <w:link w:val="C5"/>
    <w:pPr/>
    <w:rPr>
      <w:rFonts w:ascii="Calibri" w:hAnsi="Calibri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 Char Char Char Char"/>
    <w:link w:val="P4"/>
    <w:rPr>
      <w:rFonts w:ascii="Verdana" w:hAnsi="Verdana"/>
      <w:i w:val="1"/>
      <w:sz w:val="20"/>
    </w:rPr>
  </w:style>
  <w:style w:type="character" w:styleId="C4">
    <w:name w:val="Balloon Text Char"/>
    <w:link w:val="P6"/>
    <w:rPr>
      <w:rFonts w:ascii="Segoe UI" w:hAnsi="Segoe UI"/>
      <w:sz w:val="18"/>
    </w:rPr>
  </w:style>
  <w:style w:type="character" w:styleId="C5">
    <w:name w:val="Footnote Text Char"/>
    <w:link w:val="P7"/>
    <w:rPr>
      <w:rFonts w:ascii="Calibri" w:hAnsi="Calibri"/>
      <w:sz w:val="20"/>
    </w:rPr>
  </w:style>
  <w:style w:type="character" w:styleId="C6">
    <w:name w:val="Footnote Reference"/>
    <w:rPr>
      <w:vertAlign w:val="superscript"/>
    </w:rPr>
  </w:style>
  <w:style w:type="character" w:styleId="C7">
    <w:name w:val="FollowedHyperlink"/>
    <w:rPr>
      <w:color w:val="954F72"/>
      <w:u w:val="single"/>
    </w:rPr>
  </w:style>
  <w:style w:type="character" w:styleId="C8">
    <w:name w:val="Footer Char"/>
    <w:link w:val="P2"/>
    <w:rPr/>
  </w:style>
  <w:style w:type="character" w:styleId="C9">
    <w:name w:val="Intense Emphasis"/>
    <w:qFormat/>
    <w:rPr>
      <w:i w:val="1"/>
      <w:color w:val="5B9BD5"/>
    </w:rPr>
  </w:style>
  <w:style w:type="character" w:styleId="C10">
    <w:name w:val="Intense Reference"/>
    <w:qFormat/>
    <w:rPr>
      <w:b w:val="1"/>
      <w:color w:val="5B9BD5"/>
    </w:rPr>
  </w:style>
  <w:style w:type="character" w:styleId="C11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2" Type="http://schemas.openxmlformats.org/officeDocument/2006/relationships/image" Target="/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2018-03-05T07:43:00Z</dcterms:created>
  <cp:lastModifiedBy>Nikola Kapetanovic</cp:lastModifiedBy>
  <cp:lastPrinted>2017-05-23T06:40:00Z</cp:lastPrinted>
  <dcterms:modified xsi:type="dcterms:W3CDTF">2020-01-10T11:25:14Z</dcterms:modified>
  <cp:revision>4</cp:revision>
  <dc:title>16</dc:title>
</cp:coreProperties>
</file>