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C5BEAB" Type="http://schemas.openxmlformats.org/officeDocument/2006/relationships/officeDocument" Target="/word/document.xml" /><Relationship Id="coreR41C5BE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ГР</w:t>
            </w:r>
            <w:r>
              <w:rPr>
                <w:b w:val="1"/>
                <w:color w:val="808080"/>
                <w:sz w:val="48"/>
              </w:rPr>
              <w:t>21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069 - год. LXVIII, 15.03.2018.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СРБ069 ГР21 150318</w:t>
            </w:r>
          </w:p>
        </w:tc>
      </w:tr>
    </w:tbl>
    <w:p/>
    <w:p>
      <w:pPr>
        <w:spacing w:lineRule="auto" w:line="360"/>
        <w:jc w:val="center"/>
        <w:rPr>
          <w:b w:val="1"/>
          <w:sz w:val="24"/>
        </w:rPr>
      </w:pPr>
    </w:p>
    <w:p>
      <w:pPr>
        <w:spacing w:lineRule="auto" w:line="360"/>
        <w:jc w:val="center"/>
        <w:rPr>
          <w:b w:val="1"/>
          <w:sz w:val="24"/>
        </w:rPr>
      </w:pPr>
    </w:p>
    <w:p>
      <w:pPr>
        <w:spacing w:lineRule="auto" w:line="360"/>
        <w:jc w:val="center"/>
        <w:rPr>
          <w:b w:val="1"/>
          <w:sz w:val="24"/>
        </w:rPr>
      </w:pPr>
      <w:r>
        <w:rPr>
          <w:b w:val="1"/>
          <w:sz w:val="24"/>
        </w:rPr>
        <w:t>Цене станова новоградње у 20</w:t>
      </w:r>
      <w:r>
        <w:rPr>
          <w:b w:val="1"/>
          <w:sz w:val="24"/>
        </w:rPr>
        <w:t>1</w:t>
      </w:r>
      <w:r>
        <w:rPr>
          <w:b w:val="1"/>
          <w:sz w:val="24"/>
        </w:rPr>
        <w:t>7</w:t>
      </w:r>
      <w:r>
        <w:rPr>
          <w:b w:val="1"/>
          <w:sz w:val="24"/>
        </w:rPr>
        <w:t>. години</w:t>
      </w:r>
      <w:r>
        <w:rPr>
          <w:b w:val="1"/>
          <w:sz w:val="24"/>
        </w:rPr>
        <w:t xml:space="preserve"> </w:t>
      </w:r>
    </w:p>
    <w:p>
      <w:pPr>
        <w:jc w:val="center"/>
        <w:rPr>
          <w:b w:val="1"/>
        </w:rPr>
      </w:pPr>
    </w:p>
    <w:p>
      <w:pPr>
        <w:spacing w:before="120"/>
        <w:ind w:firstLine="397"/>
        <w:jc w:val="both"/>
      </w:pPr>
      <w:r>
        <w:t xml:space="preserve">Цене станова новоградње у Републици Србији у 2017. години, у односу на просечне цене станова у 2016. години, повећане су за 3,0%. </w:t>
      </w:r>
    </w:p>
    <w:p>
      <w:pPr>
        <w:spacing w:before="120"/>
        <w:ind w:firstLine="403"/>
        <w:jc w:val="both"/>
      </w:pPr>
      <w:r>
        <w:t>Узимајући у обзир промену курса евра у том периоду, у 2017. години цене станова новоградње порасле су за 4,4% у односу на 2016. годину. Посматрано у еврима, у структури трошкова, највише су порасли остали трошкови, 24,4%, затим цена грађевинског земљишта, 12,7%, док је цена грађења опала, 2,2%.</w:t>
      </w:r>
    </w:p>
    <w:p>
      <w:pPr>
        <w:spacing w:before="120"/>
        <w:ind w:firstLine="397"/>
        <w:jc w:val="both"/>
      </w:pPr>
      <w:r>
        <w:t xml:space="preserve">Највећа просечна цена новоградње у 2017. години обрачуната је у Граду Београду и износи 222 017 динара, што представља повећање од 5,2% у односу на 2016. годину. Изражено у еврима у том периоду, просечна цена у Граду Београду повећана је за 6,7%. </w:t>
      </w:r>
    </w:p>
    <w:p>
      <w:pPr>
        <w:spacing w:before="80"/>
        <w:ind w:firstLine="397"/>
        <w:jc w:val="both"/>
      </w:pPr>
      <w:r>
        <w:t xml:space="preserve">Просечна површина продатих станова новоградње у Републици Србији у II полугодишту 2017. износи 56 m². </w:t>
      </w:r>
    </w:p>
    <w:p>
      <w:pPr>
        <w:ind w:firstLine="397"/>
        <w:jc w:val="both"/>
        <w:rPr>
          <w:sz w:val="19"/>
        </w:rPr>
      </w:pP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>Цене станова новоградње</w:t>
      </w:r>
      <w:r>
        <w:rPr>
          <w:i w:val="1"/>
          <w:sz w:val="14"/>
          <w:vertAlign w:val="superscript"/>
        </w:rPr>
        <w:t>1)</w:t>
      </w:r>
      <w:r>
        <w:rPr>
          <w:b w:val="1"/>
          <w:color w:val="000000"/>
        </w:rPr>
        <w:t xml:space="preserve">, </w:t>
      </w:r>
      <w:r>
        <w:rPr>
          <w:b w:val="1"/>
        </w:rPr>
        <w:t>201</w:t>
      </w:r>
      <w:r>
        <w:rPr>
          <w:b w:val="1"/>
        </w:rPr>
        <w:t>7</w:t>
      </w:r>
      <w:r>
        <w:rPr>
          <w:b w:val="1"/>
        </w:rPr>
        <w:t>.</w:t>
      </w:r>
    </w:p>
    <w:p>
      <w:pPr>
        <w:jc w:val="center"/>
        <w:rPr>
          <w:b w:val="1"/>
          <w:sz w:val="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Просечна површина станова</w:t>
            </w:r>
            <w:r>
              <w:rPr>
                <w:rFonts w:ascii="Arial" w:hAnsi="Arial"/>
                <w:i w:val="0"/>
                <w:sz w:val="16"/>
              </w:rPr>
              <w:t xml:space="preserve">                            </w:t>
            </w:r>
            <w:r>
              <w:rPr>
                <w:rFonts w:ascii="Arial" w:hAnsi="Arial"/>
                <w:i w:val="0"/>
                <w:sz w:val="16"/>
              </w:rPr>
              <w:t>у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                             у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</w:t>
            </w:r>
            <w:r>
              <w:rPr>
                <w:rFonts w:ascii="Arial" w:hAnsi="Arial"/>
                <w:i w:val="0"/>
                <w:sz w:val="16"/>
              </w:rPr>
              <w:t xml:space="preserve">                    </w:t>
            </w:r>
            <w:r>
              <w:rPr>
                <w:rFonts w:ascii="Arial" w:hAnsi="Arial"/>
                <w:i w:val="0"/>
                <w:sz w:val="16"/>
              </w:rPr>
              <w:t xml:space="preserve">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остали трошкови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161284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33402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100713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27170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</w:t>
            </w:r>
            <w:r>
              <w:rPr>
                <w:b w:val="1"/>
                <w:sz w:val="16"/>
              </w:rPr>
              <w:t>ојводина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107196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17569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67401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22226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Београд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222017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51023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135931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35062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Бачка Паланка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80026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16493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48763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14770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Ваљево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85605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10586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67803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7216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Велика Плана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74202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6278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66358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Велико Градиште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62177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42677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Врбас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79428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8277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65910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5242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Врњачка Бања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120765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17348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67684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35733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Вршац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98147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12909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59532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25706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Горњи Милановац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98561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17324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70506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10731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Врање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85469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8239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55298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21933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Ниш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93852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13810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57926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22116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Нови Сад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118976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21458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68795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28724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Пожаревац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88456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9676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63608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15172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Ужице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111411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28267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52479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30665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Зрењанин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91780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17146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61296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13338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Јагодина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76619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6475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56612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13532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Кладово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93220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12072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39950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41198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Крагујевац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103869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14431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77124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12313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Краљево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67367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12066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40028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15273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Крушевац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70665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12917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46950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10798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Лесковац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79010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62335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14977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Лозница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73440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3676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61397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8368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Неготин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88625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62035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25500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Нови Пазар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97657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27368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59782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10506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Панчево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98175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9543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74730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13902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Параћин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70753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6642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54831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9281</w:t>
            </w:r>
          </w:p>
        </w:tc>
      </w:tr>
    </w:tbl>
    <w:p>
      <w:pPr>
        <w:pStyle w:val="P8"/>
        <w:spacing w:before="120" w:after="0"/>
        <w:rPr>
          <w:rFonts w:ascii="Arial" w:hAnsi="Arial"/>
          <w:i w:val="1"/>
          <w:color w:val="000000"/>
          <w:sz w:val="16"/>
          <w:vertAlign w:val="superscript"/>
        </w:rPr>
      </w:pPr>
    </w:p>
    <w:p>
      <w:pPr>
        <w:rPr>
          <w:b w:val="1"/>
          <w:color w:val="000000"/>
        </w:rPr>
      </w:pPr>
    </w:p>
    <w:p>
      <w:pPr>
        <w:rPr>
          <w:color w:val="000000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>Цене станова новоградње</w:t>
      </w:r>
      <w:r>
        <w:rPr>
          <w:i w:val="1"/>
          <w:sz w:val="14"/>
          <w:vertAlign w:val="superscript"/>
        </w:rPr>
        <w:t>1)</w:t>
      </w:r>
      <w:r>
        <w:rPr>
          <w:b w:val="1"/>
          <w:color w:val="000000"/>
        </w:rPr>
        <w:t xml:space="preserve">, </w:t>
      </w:r>
      <w:r>
        <w:rPr>
          <w:b w:val="1"/>
        </w:rPr>
        <w:t>201</w:t>
      </w:r>
      <w:r>
        <w:rPr>
          <w:b w:val="1"/>
        </w:rPr>
        <w:t>7</w:t>
      </w:r>
      <w:r>
        <w:rPr>
          <w:b w:val="1"/>
        </w:rPr>
        <w:t>.</w:t>
      </w:r>
      <w:r>
        <w:rPr>
          <w:b w:val="1"/>
          <w:color w:val="000000"/>
          <w:vertAlign w:val="superscript"/>
        </w:rPr>
        <w:t xml:space="preserve"> </w:t>
      </w:r>
      <w:r>
        <w:rPr>
          <w:b w:val="1"/>
          <w:color w:val="000000"/>
          <w:vertAlign w:val="superscript"/>
        </w:rPr>
        <w:t xml:space="preserve"> </w:t>
      </w:r>
      <w:r>
        <w:rPr>
          <w:color w:val="000000"/>
        </w:rPr>
        <w:t>(наставак)</w:t>
      </w:r>
    </w:p>
    <w:p>
      <w:pPr>
        <w:jc w:val="center"/>
        <w:rPr>
          <w:b w:val="1"/>
          <w:sz w:val="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Просечна површина станова</w:t>
            </w:r>
            <w:r>
              <w:rPr>
                <w:rFonts w:ascii="Arial" w:hAnsi="Arial"/>
                <w:i w:val="0"/>
                <w:sz w:val="16"/>
              </w:rPr>
              <w:t xml:space="preserve">                            </w:t>
            </w:r>
            <w:r>
              <w:rPr>
                <w:rFonts w:ascii="Arial" w:hAnsi="Arial"/>
                <w:i w:val="0"/>
                <w:sz w:val="16"/>
              </w:rPr>
              <w:t>у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                             у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</w:t>
            </w:r>
            <w:r>
              <w:rPr>
                <w:rFonts w:ascii="Arial" w:hAnsi="Arial"/>
                <w:i w:val="0"/>
                <w:sz w:val="16"/>
              </w:rPr>
              <w:t xml:space="preserve">                </w:t>
            </w:r>
            <w:r>
              <w:rPr>
                <w:rFonts w:ascii="Arial" w:hAnsi="Arial"/>
                <w:i w:val="0"/>
                <w:sz w:val="16"/>
              </w:rPr>
              <w:t xml:space="preserve">    </w:t>
            </w:r>
            <w:r>
              <w:rPr>
                <w:rFonts w:ascii="Arial" w:hAnsi="Arial"/>
                <w:i w:val="0"/>
                <w:sz w:val="16"/>
              </w:rPr>
              <w:t xml:space="preserve">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77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Петровац на Млави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62752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57452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Пирот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81094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9005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55971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16118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Рума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74885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14471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46610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13805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Смедерево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91395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11416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70735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9244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Сокобања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94412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18445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66526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9441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Сомбор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72603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7396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56089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9117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Сремска Митровица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87922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13316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56229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18377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Стара Пазова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77483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8991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57244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11248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Суботица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89048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9776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73569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5703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Трстеник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76430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7647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61136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7647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Тутин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47643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17215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24473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5955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Ћуприја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72124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8929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59035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4159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77944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12415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55222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10307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Чајетина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160270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25262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94200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40807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Чачак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89206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7605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65542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16060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Шабац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85260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14192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53060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18008</w:t>
            </w:r>
          </w:p>
        </w:tc>
      </w:tr>
    </w:tbl>
    <w:p>
      <w:pPr>
        <w:ind w:firstLine="397"/>
        <w:jc w:val="both"/>
        <w:rPr>
          <w:sz w:val="16"/>
        </w:rPr>
      </w:pPr>
    </w:p>
    <w:p>
      <w:pPr>
        <w:pStyle w:val="P8"/>
        <w:rPr>
          <w:color w:val="000000"/>
          <w:sz w:val="14"/>
          <w:vertAlign w:val="superscript"/>
        </w:rPr>
      </w:pPr>
    </w:p>
    <w:p>
      <w:pPr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Приказани су подаци само за општине и градове у којима је реализована купопродаја.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 xml:space="preserve">Просечна цена станова новоградње према степену </w:t>
      </w:r>
    </w:p>
    <w:p>
      <w:pPr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развијености јединица локалних самоуправа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>)</w:t>
      </w:r>
      <w:r>
        <w:rPr>
          <w:b w:val="1"/>
        </w:rPr>
        <w:t>, 2017</w:t>
      </w:r>
      <w:r>
        <w:rPr>
          <w:b w:val="1"/>
        </w:rPr>
        <w:t>.</w:t>
      </w:r>
      <w:r>
        <w:rPr>
          <w:b w:val="1"/>
        </w:rPr>
        <w:t xml:space="preserve"> </w:t>
      </w:r>
    </w:p>
    <w:p>
      <w:pPr>
        <w:rPr>
          <w:b w:val="1"/>
          <w:sz w:val="6"/>
        </w:rPr>
      </w:pPr>
    </w:p>
    <w:tbl>
      <w:tblPr>
        <w:tblStyle w:val="T2"/>
        <w:tblW w:w="4075" w:type="dxa"/>
        <w:tblInd w:w="57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00"/>
        </w:trPr>
        <w:tc>
          <w:tcPr>
            <w:tcW w:w="1240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28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Просечна цена по m², РСД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top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shadow="0" w:frame="0"/>
              <w:left w:val="single" w:sz="6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8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177510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II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91308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III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75093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IV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58714</w:t>
            </w:r>
          </w:p>
        </w:tc>
      </w:tr>
    </w:tbl>
    <w:p>
      <w:pPr>
        <w:pStyle w:val="P8"/>
        <w:spacing w:before="120" w:after="0"/>
        <w:rPr>
          <w:rFonts w:ascii="Arial" w:hAnsi="Arial"/>
          <w:i w:val="1"/>
          <w:color w:val="000000"/>
          <w:sz w:val="14"/>
          <w:vertAlign w:val="superscript"/>
        </w:rPr>
      </w:pPr>
    </w:p>
    <w:p>
      <w:pPr>
        <w:pStyle w:val="P8"/>
        <w:spacing w:before="0" w:after="0"/>
        <w:ind w:hanging="142" w:left="142"/>
        <w:rPr>
          <w:rFonts w:ascii="Arial" w:hAnsi="Arial"/>
          <w:i w:val="1"/>
          <w:sz w:val="14"/>
        </w:rPr>
      </w:pPr>
      <w:r>
        <w:rPr>
          <w:i w:val="0"/>
          <w:sz w:val="14"/>
          <w:vertAlign w:val="superscript"/>
        </w:rPr>
        <w:t>1)</w:t>
      </w:r>
      <w:r>
        <w:rPr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>Степен развијености одређен је на основу Уредбе о утврђивању јединствене листе развијености региона и јединица локалне самоуправе за 2014. годину.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Методолошка објашњења</w:t>
      </w:r>
    </w:p>
    <w:p>
      <w:pPr>
        <w:jc w:val="both"/>
        <w:rPr>
          <w:sz w:val="16"/>
        </w:rPr>
      </w:pPr>
    </w:p>
    <w:p>
      <w:pPr>
        <w:spacing w:before="120" w:after="120"/>
        <w:ind w:firstLine="397"/>
        <w:jc w:val="both"/>
        <w:rPr>
          <w:sz w:val="18"/>
        </w:rPr>
      </w:pPr>
      <w:r>
        <w:rPr>
          <w:sz w:val="18"/>
        </w:rPr>
        <w:t xml:space="preserve">Исказани подаци прикупљају се у оквиру полугодишњег истраживања о ценама станова новоградње. Просечна цена стана у посматраној години израчуната је као просек цена свих станова који су продати у тој години. </w:t>
      </w:r>
    </w:p>
    <w:p>
      <w:pPr>
        <w:spacing w:before="120" w:after="120"/>
        <w:ind w:firstLine="397"/>
        <w:jc w:val="both"/>
        <w:rPr>
          <w:sz w:val="18"/>
        </w:rPr>
      </w:pPr>
      <w:r>
        <w:rPr>
          <w:sz w:val="18"/>
        </w:rPr>
        <w:t xml:space="preserve">Просечна цена за Београд укључује градске делове општина Вождовац, Врачар, Звездара, Земун, Нови Београд, Палилула, Раковица, Савски венац, Стари град и Чукарица. </w:t>
      </w:r>
    </w:p>
    <w:p>
      <w:pPr>
        <w:spacing w:before="120" w:after="120"/>
        <w:ind w:firstLine="397"/>
        <w:jc w:val="both"/>
        <w:rPr>
          <w:sz w:val="18"/>
        </w:rPr>
      </w:pPr>
      <w:r>
        <w:rPr>
          <w:sz w:val="18"/>
        </w:rP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еврa одређен је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</w:t>
      </w:r>
    </w:p>
    <w:p>
      <w:pPr>
        <w:spacing w:before="120" w:after="120"/>
        <w:ind w:firstLine="397"/>
        <w:jc w:val="both"/>
        <w:rPr>
          <w:sz w:val="18"/>
        </w:rPr>
      </w:pPr>
      <w:r>
        <w:rPr>
          <w:sz w:val="18"/>
        </w:rPr>
        <w:t xml:space="preserve"> Детаљнија методолошка објашњења налазе се на сајту Републичког завода за статистику: </w:t>
      </w:r>
      <w:r>
        <w:rPr>
          <w:sz w:val="18"/>
        </w:rPr>
        <w:fldChar w:fldCharType="begin"/>
      </w:r>
      <w:r>
        <w:rPr>
          <w:sz w:val="18"/>
        </w:rPr>
        <w:instrText xml:space="preserve"> HYPERLINK "http://webrzs.stat.gov.rs" 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http://webrzs.stat.gov.rs</w:t>
      </w:r>
      <w:r>
        <w:rPr>
          <w:rStyle w:val="C2"/>
          <w:sz w:val="18"/>
        </w:rPr>
        <w:fldChar w:fldCharType="end"/>
      </w:r>
      <w:r>
        <w:rPr>
          <w:sz w:val="18"/>
        </w:rPr>
        <w:t>.</w:t>
      </w:r>
    </w:p>
    <w:p>
      <w:pPr>
        <w:spacing w:before="120" w:after="120"/>
        <w:ind w:firstLine="397"/>
        <w:jc w:val="both"/>
        <w:rPr>
          <w:rStyle w:val="C3"/>
          <w:i w:val="0"/>
          <w:sz w:val="18"/>
        </w:rPr>
      </w:pPr>
      <w:r>
        <w:rPr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37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"mailto:dejana.djordjevic@stat.gov.rs"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</w:rPr>
              <w:t>dejana.djordjevic@stat.gov.rs</w:t>
            </w:r>
            <w:r>
              <w:rPr>
                <w:rStyle w:val="C2"/>
                <w:sz w:val="18"/>
              </w:rPr>
              <w:fldChar w:fldCharType="end"/>
            </w:r>
            <w:r>
              <w:rPr>
                <w:sz w:val="18"/>
              </w:rPr>
              <w:t>, тел.: 011 24-12-922, локал 260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sz w:val="18"/>
              </w:rPr>
              <w:t xml:space="preserve">Издаје и штампа: Републички завод за статистику, 11 050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др Миладин Ковачевић, директор </w:t>
              <w:br w:type="textWrapping"/>
              <w:t>Tираж: 20 ● Периодика излажења: 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rPr>
        <w:color w:val="000000"/>
        <w:sz w:val="14"/>
        <w:vertAlign w:val="superscript"/>
      </w:rPr>
    </w:pPr>
  </w:p>
  <w:p>
    <w:pPr>
      <w:rPr>
        <w:sz w:val="14"/>
      </w:rPr>
    </w:pPr>
    <w:r>
      <w:rPr>
        <w:sz w:val="14"/>
        <w:vertAlign w:val="superscript"/>
      </w:rPr>
      <w:t>1)</w:t>
    </w:r>
    <w:r>
      <w:rPr>
        <w:sz w:val="14"/>
      </w:rPr>
      <w:t xml:space="preserve"> Приказани су подаци само за општине и градове у којима је реализована купопродаја.</w:t>
    </w:r>
  </w:p>
  <w:p>
    <w:pPr>
      <w:pStyle w:val="P3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СРБ098 ГР30 150411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/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СРБ069 ГР21 150318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D5B08C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779AF123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7A67172C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236E4E0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C14E56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DC0A855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079ACF79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5678A3F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5416EE8F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39DA1B34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74736BE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2101AF1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07FE824E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F4E1568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ACFC5F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3788F1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1360DE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1A6972A1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ascii="Times New Roman" w:hAnsi="Times New Roman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A14E61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26F2C18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6C7A81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E6F71F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4D4997C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79972B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ACD61F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5CB4CB2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ADD368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D9472E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AF653DD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5B4A5D26"/>
    <w:multiLevelType w:val="hybridMultilevel"/>
    <w:lvl w:ilvl="0" w:tplc="461CAA2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99E02F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4F9264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9A30A9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28"/>
  </w:num>
  <w:num w:numId="34">
    <w:abstractNumId w:val="14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link w:val="C4"/>
    <w:qFormat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9">
    <w:name w:val="Title"/>
    <w:basedOn w:val="P0"/>
    <w:next w:val="P9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qFormat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qFormat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Footer"/>
    <w:basedOn w:val="P0"/>
    <w:next w:val="P36"/>
    <w:pPr>
      <w:tabs>
        <w:tab w:val="center" w:pos="4320" w:leader="none"/>
        <w:tab w:val="right" w:pos="8640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Emphasis"/>
    <w:qFormat/>
    <w:rPr>
      <w:i w:val="1"/>
    </w:rPr>
  </w:style>
  <w:style w:type="character" w:styleId="C4">
    <w:name w:val="Heading 8 Char"/>
    <w:link w:val="P8"/>
    <w:rPr>
      <w:rFonts w:ascii="Times New Roman" w:hAnsi="Times New Roman"/>
      <w:i w:val="1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2014-03-07T09:12:00Z</dcterms:created>
  <cp:lastModifiedBy>Nikola Kapetanovic</cp:lastModifiedBy>
  <cp:lastPrinted>2018-03-14T07:11:00Z</cp:lastPrinted>
  <dcterms:modified xsi:type="dcterms:W3CDTF">2020-01-10T11:25:13Z</dcterms:modified>
  <cp:revision>50</cp:revision>
  <dc:title>                  </dc:title>
</cp:coreProperties>
</file>