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8626353" Type="http://schemas.openxmlformats.org/officeDocument/2006/relationships/officeDocument" Target="/word/document.xml" /><Relationship Id="coreR4862635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  <w:r>
              <w:rPr>
                <w:b w:val="1"/>
                <w:color w:val="808080"/>
                <w:sz w:val="48"/>
              </w:rPr>
              <w:t>ГР</w:t>
            </w:r>
            <w:r>
              <w:rPr>
                <w:b w:val="1"/>
                <w:color w:val="808080"/>
                <w:sz w:val="48"/>
              </w:rPr>
              <w:t>2</w:t>
            </w:r>
            <w:r>
              <w:rPr>
                <w:b w:val="1"/>
                <w:color w:val="808080"/>
                <w:sz w:val="48"/>
              </w:rPr>
              <w:t>0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068 - год. LXVIII, 15.03.2018.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color w:val="808080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</w:pPr>
            <w:r>
              <w:t>СРБ068 ГР20 150318</w:t>
            </w:r>
          </w:p>
        </w:tc>
      </w:tr>
    </w:tbl>
    <w:p/>
    <w:p>
      <w:pPr>
        <w:spacing w:before="60"/>
        <w:jc w:val="center"/>
        <w:rPr>
          <w:b w:val="1"/>
          <w:sz w:val="24"/>
        </w:rPr>
      </w:pPr>
    </w:p>
    <w:p>
      <w:pPr>
        <w:spacing w:before="60"/>
        <w:jc w:val="center"/>
        <w:rPr>
          <w:b w:val="1"/>
          <w:sz w:val="24"/>
        </w:rPr>
      </w:pPr>
    </w:p>
    <w:p>
      <w:pPr>
        <w:spacing w:before="60"/>
        <w:jc w:val="center"/>
        <w:rPr>
          <w:b w:val="1"/>
          <w:sz w:val="24"/>
        </w:rPr>
      </w:pPr>
      <w:r>
        <w:rPr>
          <w:b w:val="1"/>
          <w:sz w:val="24"/>
        </w:rPr>
        <w:t>Цене станова новоградње</w:t>
      </w:r>
      <w:r>
        <w:rPr>
          <w:b w:val="1"/>
          <w:sz w:val="24"/>
        </w:rPr>
        <w:t xml:space="preserve">, </w:t>
      </w:r>
      <w:r>
        <w:rPr>
          <w:b w:val="1"/>
          <w:sz w:val="24"/>
        </w:rPr>
        <w:t>I</w:t>
      </w:r>
      <w:r>
        <w:rPr>
          <w:b w:val="1"/>
          <w:sz w:val="24"/>
        </w:rPr>
        <w:t>I</w:t>
      </w:r>
      <w:r>
        <w:rPr>
          <w:b w:val="1"/>
          <w:sz w:val="24"/>
        </w:rPr>
        <w:t xml:space="preserve"> полугодиште </w:t>
      </w:r>
      <w:r>
        <w:rPr>
          <w:b w:val="1"/>
          <w:sz w:val="24"/>
        </w:rPr>
        <w:t>201</w:t>
      </w:r>
      <w:r>
        <w:rPr>
          <w:b w:val="1"/>
          <w:sz w:val="24"/>
        </w:rPr>
        <w:t>7</w:t>
      </w:r>
      <w:r>
        <w:rPr>
          <w:b w:val="1"/>
          <w:sz w:val="24"/>
        </w:rPr>
        <w:t>.</w:t>
      </w:r>
    </w:p>
    <w:p>
      <w:pPr>
        <w:spacing w:before="240"/>
        <w:jc w:val="center"/>
        <w:rPr>
          <w:b w:val="1"/>
          <w:sz w:val="22"/>
        </w:rPr>
      </w:pPr>
      <w:r>
        <w:rPr>
          <w:b w:val="1"/>
          <w:sz w:val="22"/>
        </w:rPr>
        <w:t>– Претходни резултати –</w:t>
      </w:r>
    </w:p>
    <w:p>
      <w:pPr>
        <w:jc w:val="center"/>
        <w:rPr>
          <w:b w:val="1"/>
        </w:rPr>
      </w:pPr>
    </w:p>
    <w:p>
      <w:pPr>
        <w:spacing w:before="80"/>
        <w:ind w:firstLine="397"/>
        <w:jc w:val="both"/>
      </w:pPr>
      <w:r>
        <w:t xml:space="preserve">Цене станова новоградње у Републици Србији у II полугодишту 2017. године, у односу на просечне цене станова у I полугодишту 2017. године, повећане су за 2,7%. </w:t>
      </w:r>
    </w:p>
    <w:p>
      <w:pPr>
        <w:spacing w:before="80"/>
        <w:ind w:firstLine="397"/>
        <w:jc w:val="both"/>
      </w:pPr>
      <w:r>
        <w:t xml:space="preserve">Узимајући у обзир промену курса евра у том периоду, у II полугодишту 2017. године цене су више за 6,0% у односу на I полугодиштe 2017. године. Посматрано у еврима, у структури трошкова највише је  порасла цена грађевинског земљишта, 11,2%, затим следe цена грађења, 4,8%, и цена осталих трошкова, 4,6%. </w:t>
      </w:r>
    </w:p>
    <w:p>
      <w:pPr>
        <w:spacing w:before="80"/>
        <w:ind w:firstLine="397"/>
        <w:jc w:val="both"/>
      </w:pPr>
      <w:r>
        <w:t>Највећа просечна цена станова новоградње у II полугодишту 2017. године обрачуната је у Граду Београду и износи 225 791 динар, што представља повећање од 3,7% у односу на I полугодиштe 2017. године. Изражено у еврима, у том периоду цене су у Граду Београду повећане за 7,1%.</w:t>
      </w:r>
    </w:p>
    <w:p>
      <w:pPr>
        <w:spacing w:before="80"/>
        <w:ind w:firstLine="397"/>
        <w:jc w:val="both"/>
      </w:pPr>
      <w:r>
        <w:t xml:space="preserve">Просечна површина продатих станова новоградње у Републици Србији у II полугодишту 2017. износи 56 m². 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tabs>
          <w:tab w:val="left" w:pos="8294" w:leader="none"/>
        </w:tabs>
        <w:spacing w:after="60"/>
        <w:rPr>
          <w:b w:val="1"/>
          <w:color w:val="000000"/>
          <w:vertAlign w:val="superscript"/>
        </w:rPr>
      </w:pPr>
      <w:r>
        <w:rPr>
          <w:b w:val="1"/>
          <w:color w:val="000000"/>
        </w:rPr>
        <w:t xml:space="preserve">1. </w:t>
      </w:r>
      <w:r>
        <w:rPr>
          <w:b w:val="1"/>
          <w:color w:val="000000"/>
        </w:rPr>
        <w:t>Цене станова новоградње</w:t>
      </w:r>
      <w:r>
        <w:rPr>
          <w:i w:val="1"/>
          <w:sz w:val="14"/>
          <w:vertAlign w:val="superscript"/>
        </w:rPr>
        <w:t>1)</w:t>
      </w:r>
      <w:r>
        <w:rPr>
          <w:b w:val="1"/>
          <w:color w:val="000000"/>
        </w:rPr>
        <w:t xml:space="preserve">, </w:t>
      </w:r>
      <w:r>
        <w:rPr>
          <w:b w:val="1"/>
        </w:rPr>
        <w:t>I</w:t>
      </w:r>
      <w:r>
        <w:rPr>
          <w:b w:val="1"/>
        </w:rPr>
        <w:t>I</w:t>
      </w:r>
      <w:r>
        <w:rPr>
          <w:b w:val="1"/>
        </w:rPr>
        <w:t xml:space="preserve"> полугодиште 201</w:t>
      </w:r>
      <w:r>
        <w:rPr>
          <w:b w:val="1"/>
        </w:rPr>
        <w:t>7</w:t>
      </w:r>
      <w:r>
        <w:rPr>
          <w:b w:val="1"/>
        </w:rPr>
        <w:t>.</w:t>
      </w:r>
    </w:p>
    <w:p>
      <w:pPr>
        <w:tabs>
          <w:tab w:val="left" w:pos="8294" w:leader="none"/>
        </w:tabs>
        <w:ind w:left="360"/>
        <w:jc w:val="center"/>
        <w:rPr>
          <w:b w:val="1"/>
          <w:color w:val="000000"/>
          <w:sz w:val="6"/>
        </w:rPr>
      </w:pP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484" w:type="dxa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pStyle w:val="P8"/>
              <w:spacing w:before="6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Просечна површина станова,                            m²</w:t>
            </w:r>
          </w:p>
        </w:tc>
        <w:tc>
          <w:tcPr>
            <w:tcW w:w="1609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Цена по 1 m²,                             РСД, укупно</w:t>
            </w:r>
          </w:p>
        </w:tc>
        <w:tc>
          <w:tcPr>
            <w:tcW w:w="4841" w:type="dxa"/>
            <w:gridSpan w:val="3"/>
            <w:tcBorders>
              <w:right w:val="none" w:sz="0" w:space="0" w:shadow="0" w:frame="0"/>
            </w:tcBorders>
            <w:vAlign w:val="center"/>
          </w:tcPr>
          <w:p>
            <w:pPr>
              <w:pStyle w:val="P8"/>
              <w:spacing w:before="60"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Од тога:</w:t>
            </w:r>
          </w:p>
        </w:tc>
      </w:tr>
      <w:tr>
        <w:trPr>
          <w:wAfter w:w="0" w:type="dxa"/>
        </w:trPr>
        <w:tc>
          <w:tcPr>
            <w:tcW w:w="2484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6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272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6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609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6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640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цена                    грађевинског     земљишта</w:t>
            </w:r>
          </w:p>
        </w:tc>
        <w:tc>
          <w:tcPr>
            <w:tcW w:w="148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цена грађења</w:t>
            </w:r>
          </w:p>
        </w:tc>
        <w:tc>
          <w:tcPr>
            <w:tcW w:w="1717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остали трошкови</w:t>
            </w:r>
          </w:p>
        </w:tc>
      </w:tr>
      <w:tr>
        <w:trPr>
          <w:wAfter w:w="0" w:type="dxa"/>
          <w:trHeight w:hRule="atLeast" w:val="179"/>
        </w:trPr>
        <w:tc>
          <w:tcPr>
            <w:tcW w:w="248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60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64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48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71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Република Србија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56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163478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34549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101554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27375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Војводина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57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107095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17183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68412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21499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Град Београд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225791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53751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136365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35676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Бачка Паланка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77909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13352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51132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13425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Ваљево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82607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10432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64623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7551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Велико Градиште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62843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43343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7500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Врбас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78241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8373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64909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4959</w:t>
            </w:r>
          </w:p>
        </w:tc>
      </w:tr>
      <w:tr>
        <w:trPr>
          <w:wAfter w:w="0" w:type="dxa"/>
          <w:trHeight w:hRule="atLeast" w:val="155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Врњачка Бања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130598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21543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66473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42582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Вршац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94729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7959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52797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33973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Град Врање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85881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8479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55562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21840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Град Ниш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94373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13203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57269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23901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Град Нови Сад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118648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20727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70358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27563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Град Пожаревац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88173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9771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62412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15990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Град Ужице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103540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16271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64244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23025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Зрењанин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93576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15729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64993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12854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Јагодина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73764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6635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55013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12116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Крагујевац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101256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10741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80362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10152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Краљево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65158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12765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36628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15764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Крушевац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76466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11716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51948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12802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Лесковац 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78562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1755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60981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15827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Лозница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72997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3814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59646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9536</w:t>
            </w:r>
          </w:p>
        </w:tc>
      </w:tr>
    </w:tbl>
    <w:p>
      <w:pPr>
        <w:tabs>
          <w:tab w:val="left" w:pos="8294" w:leader="none"/>
        </w:tabs>
        <w:rPr>
          <w:b w:val="1"/>
          <w:color w:val="000000"/>
          <w:sz w:val="16"/>
        </w:rPr>
      </w:pPr>
    </w:p>
    <w:p>
      <w:pPr>
        <w:tabs>
          <w:tab w:val="left" w:pos="8294" w:leader="none"/>
        </w:tabs>
        <w:rPr>
          <w:b w:val="1"/>
          <w:color w:val="000000"/>
        </w:rPr>
      </w:pPr>
    </w:p>
    <w:p>
      <w:pPr>
        <w:tabs>
          <w:tab w:val="left" w:pos="8294" w:leader="none"/>
        </w:tabs>
        <w:spacing w:after="60"/>
        <w:rPr>
          <w:color w:val="000000"/>
        </w:rPr>
      </w:pPr>
      <w:r>
        <w:rPr>
          <w:b w:val="1"/>
          <w:color w:val="000000"/>
        </w:rPr>
        <w:br w:type="page"/>
      </w:r>
      <w:r>
        <w:rPr>
          <w:b w:val="1"/>
          <w:color w:val="000000"/>
        </w:rPr>
        <w:t xml:space="preserve">1. </w:t>
      </w:r>
      <w:r>
        <w:rPr>
          <w:b w:val="1"/>
          <w:color w:val="000000"/>
        </w:rPr>
        <w:t>Цене станова новоградње</w:t>
      </w:r>
      <w:r>
        <w:rPr>
          <w:i w:val="1"/>
          <w:sz w:val="14"/>
          <w:vertAlign w:val="superscript"/>
        </w:rPr>
        <w:t>1)</w:t>
      </w:r>
      <w:r>
        <w:rPr>
          <w:b w:val="1"/>
          <w:color w:val="000000"/>
        </w:rPr>
        <w:t>,</w:t>
      </w:r>
      <w:r>
        <w:rPr>
          <w:b w:val="1"/>
          <w:color w:val="000000"/>
        </w:rPr>
        <w:t xml:space="preserve"> </w:t>
      </w:r>
      <w:r>
        <w:rPr>
          <w:b w:val="1"/>
        </w:rPr>
        <w:t>I</w:t>
      </w:r>
      <w:r>
        <w:rPr>
          <w:b w:val="1"/>
        </w:rPr>
        <w:t>I</w:t>
      </w:r>
      <w:r>
        <w:rPr>
          <w:b w:val="1"/>
        </w:rPr>
        <w:t xml:space="preserve"> полугодиште 201</w:t>
      </w:r>
      <w:r>
        <w:rPr>
          <w:b w:val="1"/>
        </w:rPr>
        <w:t>7</w:t>
      </w:r>
      <w:r>
        <w:rPr>
          <w:b w:val="1"/>
        </w:rPr>
        <w:t>.</w:t>
      </w:r>
      <w:r>
        <w:rPr>
          <w:b w:val="1"/>
          <w:color w:val="000000"/>
          <w:vertAlign w:val="superscript"/>
        </w:rPr>
        <w:t xml:space="preserve">  </w:t>
      </w:r>
      <w:r>
        <w:rPr>
          <w:color w:val="000000"/>
        </w:rPr>
        <w:t>(наставак)</w:t>
      </w: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484" w:type="dxa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pStyle w:val="P8"/>
              <w:spacing w:before="6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Просечна површина станова,                            m²</w:t>
            </w:r>
          </w:p>
        </w:tc>
        <w:tc>
          <w:tcPr>
            <w:tcW w:w="1609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Цена по 1 m²,                             РСД, укупно</w:t>
            </w:r>
          </w:p>
        </w:tc>
        <w:tc>
          <w:tcPr>
            <w:tcW w:w="4841" w:type="dxa"/>
            <w:gridSpan w:val="3"/>
            <w:tcBorders>
              <w:right w:val="none" w:sz="0" w:space="0" w:shadow="0" w:frame="0"/>
            </w:tcBorders>
            <w:vAlign w:val="center"/>
          </w:tcPr>
          <w:p>
            <w:pPr>
              <w:pStyle w:val="P8"/>
              <w:spacing w:before="60"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Од тога:</w:t>
            </w:r>
          </w:p>
        </w:tc>
      </w:tr>
      <w:tr>
        <w:trPr>
          <w:wAfter w:w="0" w:type="dxa"/>
        </w:trPr>
        <w:tc>
          <w:tcPr>
            <w:tcW w:w="2484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6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272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6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609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6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640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цена                    грађевинског     земљишта</w:t>
            </w:r>
          </w:p>
        </w:tc>
        <w:tc>
          <w:tcPr>
            <w:tcW w:w="148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цена грађења</w:t>
            </w:r>
          </w:p>
        </w:tc>
        <w:tc>
          <w:tcPr>
            <w:tcW w:w="1717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остали трошкови</w:t>
            </w:r>
          </w:p>
        </w:tc>
      </w:tr>
      <w:tr>
        <w:trPr>
          <w:wAfter w:w="0" w:type="dxa"/>
          <w:trHeight w:hRule="atLeast" w:val="179"/>
        </w:trPr>
        <w:tc>
          <w:tcPr>
            <w:tcW w:w="248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60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64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48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71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Неготин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86942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1090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60352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25500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Нови Пазар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100541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26682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62410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11449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Панчево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95268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10724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72544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11999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Параћин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70164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6480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54362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9322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Петровац на Млави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58706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53406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3300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Пирот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79911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8693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54339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16879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Рума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79357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14075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49743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15539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Смедерево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91893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11916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71003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8974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Сокобања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94809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18962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66367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9481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Сомбор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73564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7084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56379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10100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Сремска Митровица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89930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14076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55119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20735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Стара Пазова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76129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13238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52170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10720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Суботица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92401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10643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76387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5371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Трстеник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74991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7519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59954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7519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Тутин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47600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17850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23800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5950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Ћуприја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71791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8928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58555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4308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Уб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75111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11959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53380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9772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Чајетина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161604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23920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92853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44831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Чачак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89884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4972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70283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14630</w:t>
            </w:r>
          </w:p>
        </w:tc>
      </w:tr>
      <w:tr>
        <w:trPr>
          <w:wAfter w:w="0" w:type="dxa"/>
        </w:trPr>
        <w:tc>
          <w:tcPr>
            <w:tcW w:w="2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Шабац</w:t>
            </w:r>
          </w:p>
        </w:tc>
        <w:tc>
          <w:tcPr>
            <w:tcW w:w="12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6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83247</w:t>
            </w:r>
          </w:p>
        </w:tc>
        <w:tc>
          <w:tcPr>
            <w:tcW w:w="1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14514</w:t>
            </w:r>
          </w:p>
        </w:tc>
        <w:tc>
          <w:tcPr>
            <w:tcW w:w="1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52576</w:t>
            </w:r>
          </w:p>
        </w:tc>
        <w:tc>
          <w:tcPr>
            <w:tcW w:w="1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454"/>
              <w:jc w:val="right"/>
              <w:rPr>
                <w:sz w:val="16"/>
              </w:rPr>
            </w:pPr>
            <w:r>
              <w:rPr>
                <w:sz w:val="16"/>
              </w:rPr>
              <w:t>16157</w:t>
            </w:r>
          </w:p>
        </w:tc>
      </w:tr>
    </w:tbl>
    <w:p>
      <w:pPr>
        <w:rPr>
          <w:b w:val="1"/>
        </w:rPr>
      </w:pPr>
    </w:p>
    <w:p>
      <w:pPr>
        <w:pStyle w:val="P8"/>
        <w:rPr>
          <w:color w:val="000000"/>
          <w:sz w:val="14"/>
          <w:vertAlign w:val="superscript"/>
        </w:rPr>
      </w:pPr>
    </w:p>
    <w:p>
      <w:pPr>
        <w:rPr>
          <w:sz w:val="14"/>
        </w:rPr>
      </w:pPr>
      <w:r>
        <w:rPr>
          <w:sz w:val="14"/>
          <w:vertAlign w:val="superscript"/>
        </w:rPr>
        <w:t>1)</w:t>
      </w:r>
      <w:r>
        <w:rPr>
          <w:sz w:val="14"/>
        </w:rPr>
        <w:t xml:space="preserve"> Приказани су подаци само за општине и градове у којима је реализована купопродаја.</w:t>
      </w:r>
    </w:p>
    <w:p>
      <w:pPr>
        <w:pStyle w:val="P36"/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2.</w:t>
      </w:r>
      <w:r>
        <w:t xml:space="preserve"> </w:t>
      </w:r>
      <w:r>
        <w:rPr>
          <w:b w:val="1"/>
        </w:rPr>
        <w:t xml:space="preserve">Просечна цена станова новоградње према степену </w:t>
      </w:r>
    </w:p>
    <w:p>
      <w:pPr>
        <w:rPr>
          <w:b w:val="1"/>
        </w:rPr>
      </w:pPr>
      <w:r>
        <w:rPr>
          <w:b w:val="1"/>
        </w:rPr>
        <w:t xml:space="preserve">    </w:t>
      </w:r>
      <w:r>
        <w:rPr>
          <w:b w:val="1"/>
        </w:rPr>
        <w:t>развијености јединица локалних самоуправа</w:t>
      </w:r>
      <w:r>
        <w:rPr>
          <w:b w:val="1"/>
          <w:color w:val="000000"/>
          <w:vertAlign w:val="superscript"/>
        </w:rPr>
        <w:t>1</w:t>
      </w:r>
      <w:r>
        <w:rPr>
          <w:b w:val="1"/>
          <w:color w:val="000000"/>
          <w:vertAlign w:val="superscript"/>
        </w:rPr>
        <w:t>)</w:t>
      </w:r>
      <w:r>
        <w:rPr>
          <w:b w:val="1"/>
        </w:rPr>
        <w:t xml:space="preserve">, </w:t>
      </w:r>
      <w:r>
        <w:rPr>
          <w:b w:val="1"/>
        </w:rPr>
        <w:t>II</w:t>
      </w:r>
      <w:r>
        <w:rPr>
          <w:b w:val="1"/>
        </w:rPr>
        <w:t xml:space="preserve"> полугодиште 201</w:t>
      </w:r>
      <w:r>
        <w:rPr>
          <w:b w:val="1"/>
        </w:rPr>
        <w:t>7.</w:t>
      </w:r>
      <w:r>
        <w:rPr>
          <w:b w:val="1"/>
        </w:rPr>
        <w:t xml:space="preserve"> </w:t>
      </w:r>
    </w:p>
    <w:p>
      <w:pPr>
        <w:rPr>
          <w:b w:val="1"/>
          <w:sz w:val="6"/>
        </w:rPr>
      </w:pPr>
    </w:p>
    <w:tbl>
      <w:tblPr>
        <w:tblStyle w:val="T2"/>
        <w:tblW w:w="4075" w:type="dxa"/>
        <w:tblInd w:w="57" w:type="dxa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300"/>
        </w:trPr>
        <w:tc>
          <w:tcPr>
            <w:tcW w:w="1240" w:type="dxa"/>
            <w:tcBorders>
              <w:top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283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Просечна цена по m², РСД</w:t>
            </w:r>
          </w:p>
        </w:tc>
      </w:tr>
      <w:tr>
        <w:trPr>
          <w:wAfter w:w="0" w:type="dxa"/>
          <w:trHeight w:hRule="atLeast" w:val="20"/>
        </w:trPr>
        <w:tc>
          <w:tcPr>
            <w:tcW w:w="1240" w:type="dxa"/>
            <w:tcBorders>
              <w:top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6" w:space="0" w:shadow="0" w:frame="0"/>
              <w:left w:val="single" w:sz="6" w:space="0" w:shadow="0" w:frame="0"/>
            </w:tcBorders>
            <w:vAlign w:val="bottom"/>
          </w:tcPr>
          <w:p>
            <w:pPr>
              <w:ind w:right="567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83"/>
        </w:trPr>
        <w:tc>
          <w:tcPr>
            <w:tcW w:w="1240" w:type="dxa"/>
            <w:tcBorders>
              <w:righ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I група</w:t>
            </w:r>
          </w:p>
        </w:tc>
        <w:tc>
          <w:tcPr>
            <w:tcW w:w="2835" w:type="dxa"/>
            <w:tcBorders>
              <w:left w:val="single" w:sz="6" w:space="0" w:shadow="0" w:frame="0"/>
            </w:tcBorders>
          </w:tcPr>
          <w:p>
            <w:pPr>
              <w:tabs>
                <w:tab w:val="center" w:pos="1389" w:leader="none"/>
                <w:tab w:val="right" w:pos="2779" w:leader="none"/>
              </w:tabs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179593</w:t>
            </w:r>
          </w:p>
        </w:tc>
      </w:tr>
      <w:tr>
        <w:trPr>
          <w:wAfter w:w="0" w:type="dxa"/>
          <w:trHeight w:hRule="atLeast" w:val="20"/>
        </w:trPr>
        <w:tc>
          <w:tcPr>
            <w:tcW w:w="1240" w:type="dxa"/>
            <w:tcBorders>
              <w:righ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II група</w:t>
            </w:r>
          </w:p>
        </w:tc>
        <w:tc>
          <w:tcPr>
            <w:tcW w:w="2835" w:type="dxa"/>
            <w:tcBorders>
              <w:left w:val="single" w:sz="6" w:space="0" w:shadow="0" w:frame="0"/>
            </w:tcBorders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92878</w:t>
            </w:r>
          </w:p>
        </w:tc>
      </w:tr>
      <w:tr>
        <w:trPr>
          <w:wAfter w:w="0" w:type="dxa"/>
          <w:trHeight w:hRule="atLeast" w:val="20"/>
        </w:trPr>
        <w:tc>
          <w:tcPr>
            <w:tcW w:w="1240" w:type="dxa"/>
            <w:tcBorders>
              <w:righ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III група</w:t>
            </w:r>
          </w:p>
        </w:tc>
        <w:tc>
          <w:tcPr>
            <w:tcW w:w="2835" w:type="dxa"/>
            <w:tcBorders>
              <w:left w:val="single" w:sz="6" w:space="0" w:shadow="0" w:frame="0"/>
            </w:tcBorders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73388</w:t>
            </w:r>
          </w:p>
        </w:tc>
      </w:tr>
      <w:tr>
        <w:trPr>
          <w:wAfter w:w="0" w:type="dxa"/>
          <w:trHeight w:hRule="atLeast" w:val="20"/>
        </w:trPr>
        <w:tc>
          <w:tcPr>
            <w:tcW w:w="1240" w:type="dxa"/>
            <w:tcBorders>
              <w:righ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IV група</w:t>
            </w:r>
          </w:p>
        </w:tc>
        <w:tc>
          <w:tcPr>
            <w:tcW w:w="2835" w:type="dxa"/>
            <w:tcBorders>
              <w:left w:val="single" w:sz="6" w:space="0" w:shadow="0" w:frame="0"/>
            </w:tcBorders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54143</w:t>
            </w:r>
          </w:p>
        </w:tc>
      </w:tr>
    </w:tbl>
    <w:p>
      <w:pPr>
        <w:rPr>
          <w:b w:val="1"/>
          <w:sz w:val="6"/>
        </w:rPr>
      </w:pPr>
    </w:p>
    <w:p>
      <w:pPr>
        <w:pStyle w:val="P8"/>
        <w:spacing w:before="0"/>
        <w:rPr>
          <w:b w:val="1"/>
          <w:color w:val="000000"/>
          <w:sz w:val="14"/>
          <w:vertAlign w:val="superscript"/>
        </w:rPr>
      </w:pPr>
    </w:p>
    <w:p>
      <w:pPr>
        <w:pStyle w:val="P8"/>
        <w:spacing w:before="0"/>
        <w:ind w:hanging="142" w:left="142"/>
        <w:rPr>
          <w:rFonts w:ascii="Arial" w:hAnsi="Arial"/>
          <w:i w:val="1"/>
          <w:sz w:val="14"/>
        </w:rPr>
      </w:pPr>
      <w:r>
        <w:rPr>
          <w:rFonts w:ascii="Arial" w:hAnsi="Arial"/>
          <w:i w:val="0"/>
          <w:color w:val="000000"/>
          <w:sz w:val="14"/>
          <w:vertAlign w:val="superscript"/>
        </w:rPr>
        <w:t>1</w:t>
      </w:r>
      <w:r>
        <w:rPr>
          <w:rFonts w:ascii="Arial" w:hAnsi="Arial"/>
          <w:i w:val="0"/>
          <w:color w:val="000000"/>
          <w:sz w:val="14"/>
          <w:vertAlign w:val="superscript"/>
        </w:rPr>
        <w:t>)</w:t>
      </w:r>
      <w:r>
        <w:rPr>
          <w:rFonts w:ascii="Arial" w:hAnsi="Arial"/>
          <w:i w:val="0"/>
          <w:color w:val="000000"/>
          <w:sz w:val="14"/>
          <w:vertAlign w:val="superscript"/>
        </w:rPr>
        <w:t xml:space="preserve"> </w:t>
      </w:r>
      <w:r>
        <w:rPr>
          <w:rFonts w:ascii="Arial" w:hAnsi="Arial"/>
          <w:i w:val="0"/>
          <w:sz w:val="14"/>
        </w:rPr>
        <w:t>Степен развијености одређен је на основу Уредбе о утврђивању јединствене листе развијености региона и јединица</w:t>
      </w:r>
      <w:r>
        <w:rPr>
          <w:rFonts w:ascii="Arial" w:hAnsi="Arial"/>
          <w:i w:val="0"/>
          <w:sz w:val="14"/>
        </w:rPr>
        <w:t xml:space="preserve"> локалне самоуправе за 2014. годину.</w:t>
      </w:r>
    </w:p>
    <w:p>
      <w:pPr>
        <w:pStyle w:val="P8"/>
        <w:jc w:val="center"/>
        <w:rPr>
          <w:rFonts w:ascii="Arial" w:hAnsi="Arial"/>
          <w:b w:val="1"/>
          <w:i w:val="1"/>
          <w:sz w:val="20"/>
        </w:rPr>
      </w:pPr>
      <w:r>
        <w:rPr>
          <w:rFonts w:ascii="Arial" w:hAnsi="Arial"/>
          <w:b w:val="1"/>
          <w:i w:val="0"/>
          <w:sz w:val="20"/>
        </w:rPr>
        <w:t>Методолошка објашњења</w:t>
      </w:r>
    </w:p>
    <w:p>
      <w:pPr>
        <w:spacing w:before="120"/>
        <w:ind w:firstLine="397"/>
        <w:jc w:val="both"/>
        <w:rPr>
          <w:sz w:val="18"/>
        </w:rPr>
      </w:pPr>
    </w:p>
    <w:p>
      <w:pPr>
        <w:spacing w:before="120"/>
        <w:ind w:firstLine="397"/>
        <w:jc w:val="both"/>
        <w:rPr>
          <w:sz w:val="18"/>
        </w:rPr>
      </w:pPr>
      <w:r>
        <w:rPr>
          <w:sz w:val="18"/>
        </w:rPr>
        <w:t xml:space="preserve">Исказани подаци прикупљају се у оквиру полугодишњег истраживања о ценама станова новоградње. Обухваћени су станови новоградње за које су у извештајном полугодишту реализовани купопродајни уговори између купца и продавца у градским насељима. </w:t>
      </w:r>
    </w:p>
    <w:p>
      <w:pPr>
        <w:spacing w:before="120"/>
        <w:ind w:firstLine="397"/>
        <w:jc w:val="both"/>
        <w:rPr>
          <w:sz w:val="18"/>
        </w:rPr>
      </w:pPr>
      <w:r>
        <w:rPr>
          <w:sz w:val="18"/>
        </w:rPr>
        <w:t xml:space="preserve">Све цене представљају номинални израз вредности из купопродајних уговора (без ревалоризације) и исказују се по једном метру квадратном корисне (стамбене) површине. Курс еврa је одређен према просечној висини званичног (средњег) курса динара у посматраном периоду. Као просек периода (полугодиште и година) узима се аритметичка средина званичних (средњих) курсева које објављује Народна банка Србије.    </w:t>
      </w:r>
    </w:p>
    <w:p>
      <w:pPr>
        <w:spacing w:before="120"/>
        <w:ind w:firstLine="397"/>
        <w:jc w:val="both"/>
        <w:rPr>
          <w:sz w:val="18"/>
        </w:rPr>
      </w:pPr>
      <w:r>
        <w:rPr>
          <w:sz w:val="18"/>
        </w:rPr>
        <w:t xml:space="preserve">Детаљнија методолошка објашњења налазе се на сајту Републичког завода за статистику: </w:t>
      </w:r>
      <w:r>
        <w:rPr>
          <w:sz w:val="18"/>
        </w:rPr>
        <w:fldChar w:fldCharType="begin"/>
      </w:r>
      <w:r>
        <w:rPr>
          <w:sz w:val="18"/>
        </w:rPr>
        <w:instrText xml:space="preserve"> HYPERLINK "http://webrzs.stat.gov.rs" </w:instrText>
      </w:r>
      <w:r>
        <w:rPr>
          <w:sz w:val="18"/>
        </w:rPr>
        <w:fldChar w:fldCharType="separate"/>
      </w:r>
      <w:r>
        <w:rPr>
          <w:rStyle w:val="C2"/>
          <w:sz w:val="18"/>
        </w:rPr>
        <w:t>http://webrzs.stat.gov.rs</w:t>
      </w:r>
      <w:r>
        <w:rPr>
          <w:rStyle w:val="C2"/>
          <w:sz w:val="18"/>
        </w:rPr>
        <w:fldChar w:fldCharType="end"/>
      </w:r>
      <w:r>
        <w:rPr>
          <w:sz w:val="18"/>
        </w:rPr>
        <w:t xml:space="preserve">. </w:t>
      </w:r>
    </w:p>
    <w:p>
      <w:pPr>
        <w:spacing w:before="120"/>
        <w:ind w:firstLine="397"/>
        <w:jc w:val="both"/>
        <w:rPr>
          <w:sz w:val="18"/>
        </w:rPr>
      </w:pPr>
      <w:r>
        <w:rPr>
          <w:sz w:val="18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jc w:val="both"/>
      </w:pPr>
    </w:p>
    <w:p>
      <w:pPr>
        <w:jc w:val="both"/>
      </w:pPr>
    </w:p>
    <w:tbl>
      <w:tblPr>
        <w:tblStyle w:val="T2"/>
        <w:tblpPr w:leftFromText="181" w:rightFromText="181" w:tblpX="1" w:tblpY="14176" w:horzAnchor="margin" w:vertAnchor="page" w:tblpXSpec="center"/>
        <w:tblW w:w="4500" w:type="pct"/>
        <w:tblBorders>
          <w:top w:val="single" w:sz="2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379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Контакт: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HYPERLINK "mailto:dejana.djordjevic@stat.gov.rs" </w:instrText>
            </w:r>
            <w:r>
              <w:rPr>
                <w:sz w:val="18"/>
              </w:rPr>
              <w:fldChar w:fldCharType="separate"/>
            </w:r>
            <w:r>
              <w:rPr>
                <w:rStyle w:val="C2"/>
                <w:sz w:val="18"/>
              </w:rPr>
              <w:t>dejana.djordjevic@stat.gov.rs</w:t>
            </w:r>
            <w:r>
              <w:rPr>
                <w:rStyle w:val="C2"/>
                <w:sz w:val="18"/>
              </w:rPr>
              <w:fldChar w:fldCharType="end"/>
            </w:r>
            <w:r>
              <w:rPr>
                <w:sz w:val="18"/>
              </w:rPr>
              <w:t>, тел.: 011 2412-922, локал 260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i w:val="1"/>
              </w:rPr>
            </w:pPr>
            <w:r>
              <w:rPr>
                <w:sz w:val="18"/>
              </w:rPr>
              <w:t xml:space="preserve">Издаје и штампа: Републички завод за статистику, 11 050 Београд, Милана Ракића 5 </w:t>
              <w:br w:type="textWrapping"/>
              <w:t>Tелефон: 011 2412-922 (централа) • Tелефакс: 011 2411-260 • www.stat.gov.rs</w:t>
              <w:br w:type="textWrapping"/>
              <w:t xml:space="preserve">Одговара: др Миладин Ковачевић, директор </w:t>
              <w:br w:type="textWrapping"/>
              <w:t>Tираж: 20 ● Периодика излажења: полугодишња</w:t>
            </w:r>
          </w:p>
        </w:tc>
      </w:tr>
    </w:tbl>
    <w:p>
      <w:pPr>
        <w:rPr>
          <w:sz w:val="2"/>
        </w:rPr>
      </w:pP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8"/>
      <w:rPr>
        <w:color w:val="000000"/>
        <w:sz w:val="14"/>
        <w:vertAlign w:val="superscript"/>
      </w:rPr>
    </w:pPr>
  </w:p>
  <w:p>
    <w:pPr>
      <w:rPr>
        <w:sz w:val="14"/>
      </w:rPr>
    </w:pPr>
    <w:r>
      <w:rPr>
        <w:sz w:val="14"/>
        <w:vertAlign w:val="superscript"/>
      </w:rPr>
      <w:t>1)</w:t>
    </w:r>
    <w:r>
      <w:rPr>
        <w:sz w:val="14"/>
      </w:rPr>
      <w:t xml:space="preserve"> Приказани су подаци само за општине и градове у којима је реализована купопродаја.</w:t>
    </w:r>
  </w:p>
  <w:p>
    <w:pPr>
      <w:pStyle w:val="P36"/>
    </w:pPr>
  </w:p>
  <w:p>
    <w:pPr>
      <w:pStyle w:val="P36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6" w:space="0" w:shadow="0" w:frame="0" w:color="000000"/>
        <w:insideV w:val="none" w:sz="0" w:space="0" w:shadow="0" w:frame="0"/>
      </w:tblBorders>
      <w:tblLayout w:type="autofit"/>
    </w:tblPr>
    <w:tblGrid/>
    <w:tr>
      <w:tc>
        <w:tcPr>
          <w:tcW w:w="5210" w:type="dxa"/>
        </w:tcPr>
        <w:p>
          <w:pPr>
            <w:spacing w:before="120"/>
            <w:rPr>
              <w:i w:val="1"/>
              <w:sz w:val="16"/>
            </w:rPr>
          </w:pPr>
          <w:r>
            <w:rPr>
              <w:i w:val="1"/>
              <w:sz w:val="16"/>
            </w:rPr>
            <w:t>СРБ098 ГР30 150411</w:t>
          </w:r>
        </w:p>
      </w:tc>
      <w:tc>
        <w:tcPr>
          <w:tcW w:w="5211" w:type="dxa"/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1"/>
              <w:sz w:val="16"/>
            </w:rPr>
            <w:fldChar w:fldCharType="begin"/>
          </w:r>
          <w:r>
            <w:rPr>
              <w:b w:val="1"/>
              <w:sz w:val="16"/>
            </w:rPr>
            <w:instrText xml:space="preserve"> PAGE </w:instrText>
          </w:r>
          <w:r>
            <w:rPr>
              <w:i w:val="1"/>
              <w:sz w:val="16"/>
            </w:rPr>
            <w:fldChar w:fldCharType="separate"/>
          </w:r>
          <w:r>
            <w:rPr>
              <w:b w:val="1"/>
              <w:sz w:val="16"/>
            </w:rPr>
            <w:t>#</w:t>
          </w:r>
          <w:r>
            <w:rPr>
              <w:i w:val="1"/>
              <w:sz w:val="16"/>
            </w:rPr>
            <w:fldChar w:fldCharType="end"/>
          </w:r>
        </w:p>
      </w:tc>
    </w:tr>
  </w:tbl>
  <w:p/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6" w:space="0" w:shadow="0" w:frame="0" w:color="000000"/>
        <w:insideV w:val="none" w:sz="0" w:space="0" w:shadow="0" w:frame="0"/>
      </w:tblBorders>
      <w:tblLayout w:type="autofit"/>
    </w:tblPr>
    <w:tblGrid/>
    <w:tr>
      <w:tc>
        <w:tcPr>
          <w:tcW w:w="5210" w:type="dxa"/>
        </w:tcPr>
        <w:p>
          <w:pPr>
            <w:spacing w:before="120"/>
            <w:rPr>
              <w:sz w:val="16"/>
            </w:rPr>
          </w:pPr>
          <w: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#</w:t>
          </w:r>
          <w:r>
            <w:rPr>
              <w:sz w:val="16"/>
            </w:rPr>
            <w:fldChar w:fldCharType="end"/>
          </w:r>
        </w:p>
      </w:tc>
      <w:tc>
        <w:tcPr>
          <w:tcW w:w="5211" w:type="dxa"/>
        </w:tcPr>
        <w:p>
          <w:pPr>
            <w:spacing w:before="120"/>
            <w:jc w:val="right"/>
            <w:rPr>
              <w:sz w:val="16"/>
            </w:rPr>
          </w:pPr>
          <w:r>
            <w:rPr>
              <w:sz w:val="16"/>
            </w:rPr>
            <w:t>СРБ068 ГР20 150318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13178596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49DD8FBB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4E811DE2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60800353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338C5949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2FF2ED5C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41FE1E77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20E43FA6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75DED6F5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16B2C69C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1B874628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01D35EA6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005CECFE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453920FF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598956BE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4E93F72B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689BF31D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7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8612DE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9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0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3C718BA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1">
    <w:nsid w:val="3D59343A"/>
    <w:multiLevelType w:val="hybridMultilevel"/>
    <w:lvl w:ilvl="0" w:tplc="1C5BBE36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4854A622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51E77B9B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2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4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5">
    <w:nsid w:val="459470E3"/>
    <w:multiLevelType w:val="hybridMultilevel"/>
    <w:lvl w:ilvl="0" w:tplc="3662BA75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5F005939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0ECABF6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4B3A34D7"/>
    <w:multiLevelType w:val="hybridMultilevel"/>
    <w:lvl w:ilvl="0" w:tplc="1A635A2E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9EE564D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3AF9C71A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7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8">
    <w:nsid w:val="5B4A5D26"/>
    <w:multiLevelType w:val="hybridMultilevel"/>
    <w:lvl w:ilvl="0" w:tplc="185B14DD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4A2BF51E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7C405447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9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30">
    <w:nsid w:val="63FB620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1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2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6F8219B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4"/>
  </w:num>
  <w:num w:numId="13">
    <w:abstractNumId w:val="8"/>
  </w:num>
  <w:num w:numId="14">
    <w:abstractNumId w:val="28"/>
  </w:num>
  <w:num w:numId="15">
    <w:abstractNumId w:val="26"/>
  </w:num>
  <w:num w:numId="16">
    <w:abstractNumId w:val="12"/>
  </w:num>
  <w:num w:numId="17">
    <w:abstractNumId w:val="13"/>
  </w:num>
  <w:num w:numId="18">
    <w:abstractNumId w:val="32"/>
  </w:num>
  <w:num w:numId="19">
    <w:abstractNumId w:val="23"/>
  </w:num>
  <w:num w:numId="20">
    <w:abstractNumId w:val="20"/>
  </w:num>
  <w:num w:numId="21">
    <w:abstractNumId w:val="31"/>
  </w:num>
  <w:num w:numId="22">
    <w:abstractNumId w:val="25"/>
  </w:num>
  <w:num w:numId="23">
    <w:abstractNumId w:val="22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11"/>
  </w:num>
  <w:num w:numId="29">
    <w:abstractNumId w:val="27"/>
  </w:num>
  <w:num w:numId="30">
    <w:abstractNumId w:val="21"/>
  </w:num>
  <w:num w:numId="31">
    <w:abstractNumId w:val="19"/>
  </w:num>
  <w:num w:numId="32">
    <w:abstractNumId w:val="10"/>
  </w:num>
  <w:num w:numId="33">
    <w:abstractNumId w:val="18"/>
  </w:num>
  <w:num w:numId="34">
    <w:abstractNumId w:val="30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Heading 1"/>
    <w:basedOn w:val="P0"/>
    <w:next w:val="P0"/>
    <w:qFormat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qFormat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qFormat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Heading 5"/>
    <w:basedOn w:val="P0"/>
    <w:next w:val="P0"/>
    <w:qFormat/>
    <w:pPr>
      <w:spacing w:before="240" w:after="6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qFormat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7">
    <w:name w:val="Heading 7"/>
    <w:basedOn w:val="P0"/>
    <w:next w:val="P0"/>
    <w:qFormat/>
    <w:pPr>
      <w:spacing w:before="240" w:after="60"/>
      <w:outlineLvl w:val="6"/>
    </w:pPr>
    <w:rPr/>
  </w:style>
  <w:style w:type="paragraph" w:styleId="P8">
    <w:name w:val="Heading 8"/>
    <w:basedOn w:val="P0"/>
    <w:next w:val="P0"/>
    <w:link w:val="C4"/>
    <w:qFormat/>
    <w:pPr>
      <w:spacing w:before="240" w:after="60"/>
      <w:outlineLvl w:val="7"/>
    </w:pPr>
    <w:rPr>
      <w:rFonts w:ascii="Times New Roman" w:hAnsi="Times New Roman"/>
      <w:i w:val="1"/>
      <w:sz w:val="24"/>
    </w:rPr>
  </w:style>
  <w:style w:type="paragraph" w:styleId="P9">
    <w:name w:val="Title"/>
    <w:basedOn w:val="P0"/>
    <w:next w:val="P9"/>
    <w:qFormat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10">
    <w:name w:val="Caption"/>
    <w:basedOn w:val="P0"/>
    <w:next w:val="P0"/>
    <w:qFormat/>
    <w:pPr/>
    <w:rPr>
      <w:b w:val="1"/>
      <w:sz w:val="20"/>
    </w:rPr>
  </w:style>
  <w:style w:type="paragraph" w:styleId="P11">
    <w:name w:val="Podnaslov sopstenja"/>
    <w:basedOn w:val="P0"/>
    <w:next w:val="P11"/>
    <w:pPr>
      <w:spacing w:after="120"/>
      <w:jc w:val="center"/>
    </w:pPr>
    <w:rPr>
      <w:b w:val="1"/>
      <w:sz w:val="22"/>
    </w:rPr>
  </w:style>
  <w:style w:type="paragraph" w:styleId="P12">
    <w:name w:val="Subtitle"/>
    <w:basedOn w:val="P0"/>
    <w:next w:val="P12"/>
    <w:qFormat/>
    <w:pPr>
      <w:spacing w:after="60"/>
      <w:jc w:val="center"/>
      <w:outlineLvl w:val="1"/>
    </w:pPr>
    <w:rPr>
      <w:rFonts w:ascii="Arial" w:hAnsi="Arial"/>
    </w:rPr>
  </w:style>
  <w:style w:type="paragraph" w:styleId="P13">
    <w:name w:val="Naslov Metodologija i Napomena"/>
    <w:basedOn w:val="P0"/>
    <w:next w:val="P13"/>
    <w:pPr>
      <w:spacing w:before="120" w:after="240"/>
      <w:jc w:val="center"/>
    </w:pPr>
    <w:rPr>
      <w:b w:val="1"/>
    </w:rPr>
  </w:style>
  <w:style w:type="paragraph" w:styleId="P14">
    <w:name w:val="Body Text"/>
    <w:basedOn w:val="P0"/>
    <w:next w:val="P14"/>
    <w:pPr>
      <w:spacing w:after="120"/>
    </w:pPr>
    <w:rPr/>
  </w:style>
  <w:style w:type="paragraph" w:styleId="P15">
    <w:name w:val="List Number"/>
    <w:basedOn w:val="P0"/>
    <w:next w:val="P15"/>
    <w:pPr>
      <w:numPr>
        <w:numId w:val="13"/>
      </w:numPr>
    </w:pPr>
    <w:rPr/>
  </w:style>
  <w:style w:type="paragraph" w:styleId="P16">
    <w:name w:val="Body Text Indent"/>
    <w:basedOn w:val="P0"/>
    <w:next w:val="P16"/>
    <w:pPr>
      <w:spacing w:after="120"/>
      <w:ind w:left="283"/>
    </w:pPr>
    <w:rPr/>
  </w:style>
  <w:style w:type="paragraph" w:styleId="P17">
    <w:name w:val="Body Text Indent 2"/>
    <w:basedOn w:val="P0"/>
    <w:next w:val="P17"/>
    <w:pPr>
      <w:spacing w:lineRule="auto" w:line="480" w:after="120"/>
      <w:ind w:left="283"/>
    </w:pPr>
    <w:rPr/>
  </w:style>
  <w:style w:type="paragraph" w:styleId="P18">
    <w:name w:val="Body Text 3"/>
    <w:basedOn w:val="P0"/>
    <w:next w:val="P18"/>
    <w:pPr>
      <w:spacing w:after="120"/>
    </w:pPr>
    <w:rPr>
      <w:sz w:val="16"/>
    </w:rPr>
  </w:style>
  <w:style w:type="paragraph" w:styleId="P19">
    <w:name w:val="Body Text Indent 3"/>
    <w:basedOn w:val="P0"/>
    <w:next w:val="P19"/>
    <w:pPr>
      <w:spacing w:after="120"/>
      <w:ind w:left="283"/>
    </w:pPr>
    <w:rPr>
      <w:sz w:val="16"/>
    </w:rPr>
  </w:style>
  <w:style w:type="paragraph" w:styleId="P20">
    <w:name w:val="Balloon Text"/>
    <w:basedOn w:val="P0"/>
    <w:next w:val="P20"/>
    <w:pPr/>
    <w:rPr>
      <w:rFonts w:ascii="Tahoma" w:hAnsi="Tahoma"/>
      <w:sz w:val="16"/>
    </w:rPr>
  </w:style>
  <w:style w:type="paragraph" w:styleId="P21">
    <w:name w:val="Body Text 2"/>
    <w:basedOn w:val="P0"/>
    <w:next w:val="P21"/>
    <w:pPr>
      <w:spacing w:lineRule="auto" w:line="480" w:after="120"/>
    </w:pPr>
    <w:rPr/>
  </w:style>
  <w:style w:type="paragraph" w:styleId="P22">
    <w:name w:val="Normal Indent"/>
    <w:basedOn w:val="P0"/>
    <w:next w:val="P22"/>
    <w:pPr>
      <w:ind w:left="720"/>
    </w:pPr>
    <w:rPr/>
  </w:style>
  <w:style w:type="paragraph" w:styleId="P23">
    <w:name w:val="Naslov tabela"/>
    <w:basedOn w:val="P0"/>
    <w:next w:val="P23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4">
    <w:name w:val="Tabela-Zaglavlje"/>
    <w:basedOn w:val="P0"/>
    <w:next w:val="P24"/>
    <w:pPr>
      <w:jc w:val="center"/>
    </w:pPr>
    <w:rPr>
      <w:rFonts w:ascii="Arial" w:hAnsi="Arial"/>
      <w:sz w:val="16"/>
    </w:rPr>
  </w:style>
  <w:style w:type="paragraph" w:styleId="P25">
    <w:name w:val="Tabela-Pretkolona"/>
    <w:basedOn w:val="P0"/>
    <w:next w:val="P25"/>
    <w:pPr/>
    <w:rPr>
      <w:rFonts w:ascii="Arial" w:hAnsi="Arial"/>
      <w:sz w:val="16"/>
    </w:rPr>
  </w:style>
  <w:style w:type="paragraph" w:styleId="P26">
    <w:name w:val="Tabela-PretkolonaI"/>
    <w:basedOn w:val="P0"/>
    <w:next w:val="P26"/>
    <w:pPr/>
    <w:rPr>
      <w:rFonts w:ascii="Arial" w:hAnsi="Arial"/>
      <w:i w:val="1"/>
      <w:sz w:val="16"/>
    </w:rPr>
  </w:style>
  <w:style w:type="paragraph" w:styleId="P27">
    <w:name w:val="Tabela-PretkolonaB"/>
    <w:basedOn w:val="P0"/>
    <w:next w:val="P27"/>
    <w:pPr/>
    <w:rPr>
      <w:rFonts w:ascii="Arial" w:hAnsi="Arial"/>
      <w:b w:val="1"/>
      <w:sz w:val="16"/>
    </w:rPr>
  </w:style>
  <w:style w:type="paragraph" w:styleId="P28">
    <w:name w:val="Tabela-Brojevi"/>
    <w:basedOn w:val="P0"/>
    <w:next w:val="P28"/>
    <w:pPr>
      <w:jc w:val="right"/>
    </w:pPr>
    <w:rPr>
      <w:rFonts w:ascii="Arial" w:hAnsi="Arial"/>
      <w:sz w:val="16"/>
    </w:rPr>
  </w:style>
  <w:style w:type="paragraph" w:styleId="P29">
    <w:name w:val="Footnote Text"/>
    <w:basedOn w:val="P0"/>
    <w:next w:val="P29"/>
    <w:pPr/>
    <w:rPr>
      <w:sz w:val="20"/>
    </w:rPr>
  </w:style>
  <w:style w:type="paragraph" w:styleId="P30">
    <w:name w:val="Tabela-BrojeviI"/>
    <w:basedOn w:val="P0"/>
    <w:next w:val="P30"/>
    <w:pPr>
      <w:jc w:val="right"/>
    </w:pPr>
    <w:rPr>
      <w:rFonts w:ascii="Arial" w:hAnsi="Arial"/>
      <w:i w:val="1"/>
      <w:sz w:val="16"/>
    </w:rPr>
  </w:style>
  <w:style w:type="paragraph" w:styleId="P31">
    <w:name w:val="Tabela-BrojeviB"/>
    <w:basedOn w:val="P0"/>
    <w:next w:val="P31"/>
    <w:pPr>
      <w:jc w:val="right"/>
    </w:pPr>
    <w:rPr>
      <w:rFonts w:ascii="Arial" w:hAnsi="Arial"/>
      <w:b w:val="1"/>
      <w:sz w:val="16"/>
    </w:rPr>
  </w:style>
  <w:style w:type="paragraph" w:styleId="P32">
    <w:name w:val="Fusnota-Broj1"/>
    <w:basedOn w:val="P0"/>
    <w:next w:val="P32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3">
    <w:name w:val="Fusnota-Tekst1"/>
    <w:basedOn w:val="P0"/>
    <w:next w:val="P33"/>
    <w:pPr/>
    <w:rPr>
      <w:sz w:val="14"/>
    </w:rPr>
  </w:style>
  <w:style w:type="paragraph" w:styleId="P34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5">
    <w:name w:val="Header"/>
    <w:basedOn w:val="P0"/>
    <w:next w:val="P35"/>
    <w:pPr>
      <w:tabs>
        <w:tab w:val="center" w:pos="4320" w:leader="none"/>
        <w:tab w:val="right" w:pos="8640" w:leader="none"/>
      </w:tabs>
    </w:pPr>
    <w:rPr/>
  </w:style>
  <w:style w:type="paragraph" w:styleId="P36">
    <w:name w:val="Footer"/>
    <w:basedOn w:val="P0"/>
    <w:next w:val="P36"/>
    <w:pPr>
      <w:tabs>
        <w:tab w:val="center" w:pos="4320" w:leader="none"/>
        <w:tab w:val="right" w:pos="8640" w:leader="none"/>
      </w:tabs>
    </w:pPr>
    <w:rPr/>
  </w:style>
  <w:style w:type="paragraph" w:styleId="P37">
    <w:name w:val="Naslov saopstenja"/>
    <w:basedOn w:val="P9"/>
    <w:next w:val="P10"/>
    <w:pPr>
      <w:spacing w:after="0"/>
    </w:pPr>
    <w:rPr>
      <w:sz w:val="24"/>
    </w:rPr>
  </w:style>
  <w:style w:type="paragraph" w:styleId="P38">
    <w:name w:val="Body Text First Indent"/>
    <w:basedOn w:val="P14"/>
    <w:next w:val="P38"/>
    <w:pPr>
      <w:ind w:firstLine="210"/>
    </w:pPr>
    <w:rPr/>
  </w:style>
  <w:style w:type="paragraph" w:styleId="P39">
    <w:name w:val="Body Text First Indent 2"/>
    <w:basedOn w:val="P16"/>
    <w:next w:val="P39"/>
    <w:pPr>
      <w:ind w:firstLine="210"/>
    </w:pPr>
    <w:rPr/>
  </w:style>
  <w:style w:type="paragraph" w:styleId="P40">
    <w:name w:val="Tekst Metodologija i Napomena"/>
    <w:basedOn w:val="P38"/>
    <w:next w:val="P14"/>
    <w:pPr>
      <w:spacing w:before="120" w:after="0"/>
      <w:ind w:firstLine="397"/>
      <w:jc w:val="both"/>
    </w:pPr>
    <w:rPr/>
  </w:style>
  <w:style w:type="paragraph" w:styleId="P41">
    <w:name w:val="Style Pasus + First line:  06 cm Before:  0 pt After:  0 pt"/>
    <w:basedOn w:val="P40"/>
    <w:next w:val="P41"/>
    <w:pPr>
      <w:spacing w:before="0" w:after="0"/>
      <w:ind w:firstLine="34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Emphasis"/>
    <w:qFormat/>
    <w:rPr>
      <w:i w:val="1"/>
    </w:rPr>
  </w:style>
  <w:style w:type="character" w:styleId="C4">
    <w:name w:val="Heading 8 Char"/>
    <w:link w:val="P8"/>
    <w:rPr>
      <w:rFonts w:ascii="Times New Roman" w:hAnsi="Times New Roman"/>
      <w:i w:val="1"/>
      <w:sz w:val="24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2018-03-12T12:07:00Z</dcterms:created>
  <cp:lastModifiedBy>Nikola Kapetanovic</cp:lastModifiedBy>
  <cp:lastPrinted>2018-03-13T14:38:00Z</cp:lastPrinted>
  <dcterms:modified xsi:type="dcterms:W3CDTF">2020-01-10T11:25:13Z</dcterms:modified>
  <cp:revision>10</cp:revision>
  <dc:title>                  </dc:title>
</cp:coreProperties>
</file>