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019BE2" Type="http://schemas.openxmlformats.org/officeDocument/2006/relationships/officeDocument" Target="/word/document.xml" /><Relationship Id="coreR19019BE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b w:val="0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rStyle w:val="C3"/>
                <w:b w:val="0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rStyle w:val="C3"/>
                <w:b w:val="0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rStyle w:val="C3"/>
                <w:b w:val="0"/>
              </w:rPr>
            </w:pPr>
            <w:r>
              <w:rPr>
                <w:rStyle w:val="C3"/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color w:val="808080"/>
                <w:sz w:val="20"/>
              </w:rPr>
            </w:pPr>
            <w:r>
              <w:rPr>
                <w:rStyle w:val="C3"/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0"/>
                <w:color w:val="808080"/>
                <w:sz w:val="12"/>
              </w:rPr>
            </w:pPr>
            <w:r>
              <w:rPr>
                <w:rStyle w:val="C3"/>
                <w:rFonts w:ascii="Arial" w:hAnsi="Arial"/>
                <w:b w:val="1"/>
                <w:color w:val="808080"/>
                <w:sz w:val="48"/>
              </w:rPr>
              <w:t>ПС10</w:t>
            </w:r>
          </w:p>
        </w:tc>
      </w:tr>
      <w:tr>
        <w:trPr>
          <w:wAfter w:w="0" w:type="dxa"/>
          <w:trHeight w:hRule="exact" w:val="28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  <w:sz w:val="20"/>
              </w:rPr>
              <w:t>Број 054 – год. LXVIII, 05.03.2018.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rFonts w:ascii="Arial" w:hAnsi="Arial"/>
                <w:b w:val="0"/>
              </w:rPr>
            </w:pPr>
            <w:r>
              <w:rPr>
                <w:rStyle w:val="C3"/>
                <w:rFonts w:ascii="Arial" w:hAnsi="Arial"/>
                <w:b w:val="1"/>
              </w:rPr>
              <w:t>Статистика пословања предузећа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rStyle w:val="C3"/>
                <w:b w:val="0"/>
              </w:rPr>
            </w:pPr>
            <w:r>
              <w:rPr>
                <w:rStyle w:val="C3"/>
                <w:b w:val="0"/>
                <w:sz w:val="20"/>
              </w:rPr>
              <w:t>СРБ</w:t>
            </w:r>
            <w:r>
              <w:rPr>
                <w:rStyle w:val="C3"/>
                <w:b w:val="0"/>
                <w:sz w:val="20"/>
              </w:rPr>
              <w:t>054</w:t>
            </w:r>
            <w:r>
              <w:rPr>
                <w:rStyle w:val="C3"/>
                <w:b w:val="0"/>
                <w:sz w:val="20"/>
              </w:rPr>
              <w:t xml:space="preserve"> ПС10 </w:t>
            </w:r>
            <w:r>
              <w:rPr>
                <w:rStyle w:val="C3"/>
                <w:b w:val="0"/>
                <w:sz w:val="20"/>
              </w:rPr>
              <w:t>0</w:t>
            </w:r>
            <w:r>
              <w:rPr>
                <w:rStyle w:val="C3"/>
                <w:b w:val="0"/>
                <w:sz w:val="20"/>
              </w:rPr>
              <w:t>5</w:t>
            </w:r>
            <w:r>
              <w:rPr>
                <w:rStyle w:val="C3"/>
                <w:b w:val="0"/>
                <w:sz w:val="20"/>
              </w:rPr>
              <w:t>03</w:t>
            </w:r>
            <w:r>
              <w:rPr>
                <w:rStyle w:val="C3"/>
                <w:b w:val="0"/>
                <w:sz w:val="20"/>
              </w:rPr>
              <w:t>1</w:t>
            </w:r>
            <w:r>
              <w:rPr>
                <w:rStyle w:val="C3"/>
                <w:b w:val="0"/>
                <w:sz w:val="20"/>
              </w:rPr>
              <w:t>8</w:t>
            </w:r>
          </w:p>
        </w:tc>
      </w:tr>
    </w:tbl>
    <w:p>
      <w:pPr>
        <w:pStyle w:val="P33"/>
        <w:spacing w:before="840"/>
      </w:pPr>
      <w:r>
        <w:t>Квартално пословање привредних друштава</w:t>
      </w:r>
    </w:p>
    <w:p>
      <w:pPr>
        <w:pStyle w:val="P33"/>
        <w:spacing w:before="120" w:after="120"/>
      </w:pPr>
      <w:r>
        <w:t>IV квартал 2017. године</w:t>
      </w:r>
    </w:p>
    <w:p>
      <w:pPr>
        <w:pStyle w:val="P23"/>
        <w:spacing w:after="240"/>
      </w:pPr>
      <w:r>
        <w:t>– Претходни подаци –</w:t>
      </w:r>
    </w:p>
    <w:p>
      <w:pPr>
        <w:pStyle w:val="P34"/>
        <w:numPr>
          <w:ilvl w:val="0"/>
          <w:numId w:val="0"/>
        </w:numPr>
        <w:spacing w:after="120"/>
        <w:ind w:firstLine="397"/>
      </w:pPr>
      <w:r>
        <w:t>Пословни приходи у нефинансијској пословној економији у Републици Србији у четвртом кварталу 2017. године били су већи за 2,8% у односу на исти период претходне године. У поређењу са трећим кварталом 2017. године, забележен је њихов раст од 9%.</w:t>
      </w:r>
    </w:p>
    <w:p>
      <w:pPr>
        <w:pStyle w:val="P34"/>
        <w:numPr>
          <w:ilvl w:val="0"/>
          <w:numId w:val="0"/>
        </w:numPr>
        <w:spacing w:after="120"/>
        <w:ind w:firstLine="397"/>
      </w:pPr>
      <w:r>
        <w:t>Пословни расходи у нефинансијској пословној економији у четвртом кварталу 2017. године били су већи за 3,6% у односу на исти период претходне године. Уколико се упореде с трећим кварталом 2017. године, њихов раст износи 11,7%.</w:t>
      </w:r>
    </w:p>
    <w:p>
      <w:pPr>
        <w:jc w:val="center"/>
        <w:rPr>
          <w:rStyle w:val="C3"/>
          <w:b w:val="0"/>
          <w:sz w:val="16"/>
        </w:rPr>
      </w:pPr>
    </w:p>
    <w:p>
      <w:pPr>
        <w:jc w:val="center"/>
        <w:rPr>
          <w:rStyle w:val="C3"/>
          <w:rFonts w:ascii="Arial" w:hAnsi="Arial"/>
          <w:b w:val="0"/>
          <w:sz w:val="10"/>
        </w:rPr>
      </w:pPr>
    </w:p>
    <w:p>
      <w:pPr>
        <w:jc w:val="center"/>
        <w:rPr>
          <w:rStyle w:val="C3"/>
          <w:rFonts w:ascii="Arial" w:hAnsi="Arial"/>
          <w:b w:val="0"/>
          <w:sz w:val="10"/>
        </w:rPr>
      </w:pPr>
    </w:p>
    <w:p>
      <w:pPr>
        <w:pStyle w:val="P26"/>
        <w:spacing w:before="240"/>
      </w:pPr>
      <w:r>
        <w:t>Индекси пословних прихода и пословних расхода у нефинансијској пословној економији</w:t>
      </w:r>
    </w:p>
    <w:p>
      <w:pPr>
        <w:jc w:val="center"/>
        <w:rPr>
          <w:rStyle w:val="C3"/>
          <w:rFonts w:ascii="Arial" w:hAnsi="Arial"/>
          <w:sz w:val="10"/>
        </w:rPr>
      </w:pPr>
    </w:p>
    <w:p>
      <w:pPr>
        <w:spacing w:after="40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>Република Србија</w:t>
      </w:r>
      <w:r>
        <w:rPr>
          <w:rStyle w:val="C3"/>
          <w:rFonts w:ascii="Arial" w:hAnsi="Arial"/>
          <w:b w:val="1"/>
          <w:sz w:val="18"/>
          <w:vertAlign w:val="superscript"/>
        </w:rPr>
        <w:t>1)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gridAfter w:val="1"/>
          <w:wAfter w:w="14" w:type="dxa"/>
          <w:trHeight w:hRule="exact" w:val="567"/>
        </w:trPr>
        <w:tc>
          <w:tcPr>
            <w:tcW w:w="392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IV </w:t>
            </w:r>
            <w:r>
              <w:rPr>
                <w:rStyle w:val="C3"/>
                <w:rFonts w:ascii="Arial" w:hAnsi="Arial"/>
                <w:sz w:val="16"/>
              </w:rPr>
              <w:t xml:space="preserve">квартал 2017 / </w:t>
            </w:r>
            <w:r>
              <w:rPr>
                <w:rStyle w:val="C3"/>
                <w:rFonts w:ascii="Arial" w:hAnsi="Arial"/>
                <w:sz w:val="18"/>
              </w:rPr>
              <w:t xml:space="preserve">IV </w:t>
            </w:r>
            <w:r>
              <w:rPr>
                <w:rStyle w:val="C3"/>
                <w:rFonts w:ascii="Arial" w:hAnsi="Arial"/>
                <w:sz w:val="16"/>
              </w:rPr>
              <w:t>квартал 2016</w:t>
            </w:r>
          </w:p>
        </w:tc>
        <w:tc>
          <w:tcPr>
            <w:tcW w:w="306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IV </w:t>
            </w:r>
            <w:r>
              <w:rPr>
                <w:rStyle w:val="C3"/>
                <w:rFonts w:ascii="Arial" w:hAnsi="Arial"/>
                <w:sz w:val="16"/>
              </w:rPr>
              <w:t xml:space="preserve">квартал 2017 / </w:t>
            </w:r>
            <w:r>
              <w:rPr>
                <w:rStyle w:val="C3"/>
                <w:rFonts w:ascii="Arial" w:hAnsi="Arial"/>
                <w:sz w:val="18"/>
              </w:rPr>
              <w:t xml:space="preserve">III </w:t>
            </w:r>
            <w:r>
              <w:rPr>
                <w:rStyle w:val="C3"/>
                <w:rFonts w:ascii="Arial" w:hAnsi="Arial"/>
                <w:sz w:val="16"/>
              </w:rPr>
              <w:t>квартал 2017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Пословни приходи</w:t>
            </w:r>
          </w:p>
        </w:tc>
      </w:tr>
      <w:tr>
        <w:trPr>
          <w:wAfter w:w="0" w:type="dxa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02</w:t>
            </w:r>
            <w:r>
              <w:rPr>
                <w:rStyle w:val="C3"/>
                <w:rFonts w:ascii="Arial" w:hAnsi="Arial"/>
                <w:b w:val="1"/>
                <w:sz w:val="16"/>
              </w:rPr>
              <w:t>,</w:t>
            </w:r>
            <w:r>
              <w:rPr>
                <w:rStyle w:val="C3"/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09</w:t>
            </w:r>
            <w:r>
              <w:rPr>
                <w:rStyle w:val="C3"/>
                <w:rFonts w:ascii="Arial" w:hAnsi="Arial"/>
                <w:b w:val="1"/>
                <w:sz w:val="16"/>
              </w:rPr>
              <w:t>,</w:t>
            </w:r>
            <w:r>
              <w:rPr>
                <w:rStyle w:val="C3"/>
                <w:rFonts w:ascii="Arial" w:hAnsi="Arial"/>
                <w:b w:val="1"/>
                <w:sz w:val="16"/>
              </w:rPr>
              <w:t>0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77,3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101,3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Индустрија и грађевинарство</w:t>
            </w:r>
            <w:r>
              <w:rPr>
                <w:rStyle w:val="C3"/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105,4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109,5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Услуге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102,8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109,1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Трговина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104,3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105,9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97,1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118,8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83,9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95,9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104,9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113,3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Остале услуге</w:t>
            </w:r>
            <w:r>
              <w:rPr>
                <w:rStyle w:val="C3"/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102,7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117,2</w:t>
            </w:r>
          </w:p>
        </w:tc>
      </w:tr>
      <w:tr>
        <w:trPr>
          <w:wAfter w:w="0" w:type="dxa"/>
          <w:trHeight w:hRule="exact" w:val="454"/>
        </w:trPr>
        <w:tc>
          <w:tcPr>
            <w:tcW w:w="10067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Пословни расходи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03</w:t>
            </w:r>
            <w:r>
              <w:rPr>
                <w:rStyle w:val="C3"/>
                <w:rFonts w:ascii="Arial" w:hAnsi="Arial"/>
                <w:b w:val="1"/>
                <w:sz w:val="16"/>
              </w:rPr>
              <w:t>,</w:t>
            </w:r>
            <w:r>
              <w:rPr>
                <w:rStyle w:val="C3"/>
                <w:rFonts w:ascii="Arial" w:hAnsi="Arial"/>
                <w:b w:val="1"/>
                <w:sz w:val="16"/>
              </w:rPr>
              <w:t>6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11</w:t>
            </w:r>
            <w:r>
              <w:rPr>
                <w:rStyle w:val="C3"/>
                <w:rFonts w:ascii="Arial" w:hAnsi="Arial"/>
                <w:b w:val="1"/>
                <w:sz w:val="16"/>
              </w:rPr>
              <w:t>1</w:t>
            </w:r>
            <w:r>
              <w:rPr>
                <w:rStyle w:val="C3"/>
                <w:rFonts w:ascii="Arial" w:hAnsi="Arial"/>
                <w:b w:val="1"/>
                <w:sz w:val="16"/>
              </w:rPr>
              <w:t>,</w:t>
            </w:r>
            <w:r>
              <w:rPr>
                <w:rStyle w:val="C3"/>
                <w:rFonts w:ascii="Arial" w:hAnsi="Arial"/>
                <w:b w:val="1"/>
                <w:sz w:val="16"/>
              </w:rPr>
              <w:t>7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Пољопривреда, шумарство и рибарство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81,8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99,8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Индустрија и грађевинарство</w:t>
            </w:r>
            <w:r>
              <w:rPr>
                <w:rStyle w:val="C3"/>
                <w:rFonts w:ascii="Arial" w:hAnsi="Arial"/>
                <w:sz w:val="16"/>
                <w:vertAlign w:val="superscript"/>
              </w:rPr>
              <w:t>2)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106,9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114,5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Услуге                                                      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102,5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110,3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Трговина  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104,8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Саобраћај и складиштење 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92,5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119,3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Смештај и исхрана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90,5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106,9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Информисање и комуникације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110,0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127,5</w:t>
            </w:r>
          </w:p>
        </w:tc>
      </w:tr>
      <w:tr>
        <w:trPr>
          <w:wAfter w:w="0" w:type="dxa"/>
          <w:trHeight w:hRule="exact" w:val="227"/>
        </w:trPr>
        <w:tc>
          <w:tcPr>
            <w:tcW w:w="392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Остале услуге</w:t>
            </w:r>
            <w:r>
              <w:rPr>
                <w:rStyle w:val="C3"/>
                <w:rFonts w:ascii="Arial" w:hAnsi="Arial"/>
                <w:sz w:val="16"/>
                <w:vertAlign w:val="superscript"/>
              </w:rPr>
              <w:t>3)</w:t>
            </w:r>
          </w:p>
        </w:tc>
        <w:tc>
          <w:tcPr>
            <w:tcW w:w="3062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98,2</w:t>
            </w:r>
          </w:p>
        </w:tc>
        <w:tc>
          <w:tcPr>
            <w:tcW w:w="3076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ind w:right="1134"/>
              <w:jc w:val="right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120,3</w:t>
            </w:r>
          </w:p>
        </w:tc>
      </w:tr>
    </w:tbl>
    <w:p>
      <w:pPr>
        <w:rPr>
          <w:rStyle w:val="C3"/>
          <w:rFonts w:ascii="Arial" w:hAnsi="Arial"/>
          <w:sz w:val="18"/>
          <w:vertAlign w:val="superscript"/>
        </w:rPr>
      </w:pPr>
    </w:p>
    <w:p>
      <w:pPr>
        <w:rPr>
          <w:rStyle w:val="C3"/>
          <w:rFonts w:ascii="Arial" w:hAnsi="Arial"/>
          <w:sz w:val="18"/>
          <w:vertAlign w:val="superscript"/>
        </w:rPr>
      </w:pPr>
    </w:p>
    <w:p>
      <w:pPr>
        <w:ind w:hanging="142" w:left="142"/>
        <w:rPr>
          <w:rStyle w:val="C3"/>
          <w:rFonts w:ascii="Arial" w:hAnsi="Arial"/>
          <w:sz w:val="14"/>
        </w:rPr>
      </w:pPr>
      <w:r>
        <w:rPr>
          <w:rStyle w:val="C3"/>
          <w:rFonts w:ascii="Arial" w:hAnsi="Arial"/>
          <w:sz w:val="14"/>
          <w:vertAlign w:val="superscript"/>
        </w:rPr>
        <w:t xml:space="preserve">1)  </w:t>
      </w:r>
      <w:r>
        <w:rPr>
          <w:rStyle w:val="C3"/>
          <w:rFonts w:ascii="Arial" w:hAnsi="Arial"/>
          <w:sz w:val="14"/>
        </w:rPr>
        <w:t>Без података за АП Косово и Метохија.</w:t>
      </w:r>
    </w:p>
    <w:p>
      <w:pPr>
        <w:ind w:hanging="142" w:left="142"/>
        <w:rPr>
          <w:rStyle w:val="C3"/>
          <w:rFonts w:ascii="Arial" w:hAnsi="Arial"/>
          <w:sz w:val="14"/>
        </w:rPr>
      </w:pPr>
      <w:r>
        <w:rPr>
          <w:rStyle w:val="C3"/>
          <w:rFonts w:ascii="Arial" w:hAnsi="Arial"/>
          <w:sz w:val="14"/>
          <w:vertAlign w:val="superscript"/>
        </w:rPr>
        <w:t xml:space="preserve">2)  </w:t>
      </w:r>
      <w:r>
        <w:rPr>
          <w:rStyle w:val="C3"/>
          <w:rFonts w:ascii="Arial" w:hAnsi="Arial"/>
          <w:sz w:val="14"/>
        </w:rPr>
        <w:t>Обухвата: Рударство; Прерађивачку индустрију; Снабдевање електричном енергијом, гасом и паром; Снабдевање водом и управљање отпадним водама и Грађевинарство.</w:t>
      </w:r>
    </w:p>
    <w:p>
      <w:pPr>
        <w:ind w:hanging="142" w:left="142"/>
        <w:rPr>
          <w:rStyle w:val="C3"/>
          <w:rFonts w:ascii="Arial" w:hAnsi="Arial"/>
          <w:sz w:val="14"/>
        </w:rPr>
      </w:pPr>
      <w:r>
        <w:rPr>
          <w:rStyle w:val="C3"/>
          <w:rFonts w:ascii="Arial" w:hAnsi="Arial"/>
          <w:sz w:val="14"/>
          <w:vertAlign w:val="superscript"/>
        </w:rPr>
        <w:t xml:space="preserve">3)  </w:t>
      </w:r>
      <w:r>
        <w:rPr>
          <w:rStyle w:val="C3"/>
          <w:rFonts w:ascii="Arial" w:hAnsi="Arial"/>
          <w:sz w:val="14"/>
        </w:rPr>
        <w:t>Обухвата: Пословање некретнинама; Стручне, научне, иновационе и техничке делатности; Административне и помоћне услужне делатности; Образовање; Здравствену и социјалну заштиту; Уметност, забаву и рекреацију и Остале услужне делатности.</w:t>
      </w:r>
    </w:p>
    <w:p>
      <w:pPr>
        <w:ind w:hanging="142" w:left="142"/>
        <w:rPr>
          <w:rStyle w:val="C3"/>
          <w:rFonts w:ascii="Arial" w:hAnsi="Arial"/>
          <w:sz w:val="14"/>
        </w:rPr>
      </w:pPr>
    </w:p>
    <w:p>
      <w:pPr>
        <w:spacing w:after="120"/>
        <w:jc w:val="center"/>
        <w:rPr>
          <w:rStyle w:val="C3"/>
          <w:rFonts w:ascii="Arial" w:hAnsi="Arial"/>
          <w:b w:val="0"/>
          <w:sz w:val="22"/>
        </w:rPr>
      </w:pPr>
    </w:p>
    <w:p>
      <w:pPr>
        <w:spacing w:after="120"/>
        <w:jc w:val="center"/>
        <w:rPr>
          <w:rStyle w:val="C3"/>
          <w:rFonts w:ascii="Arial" w:hAnsi="Arial"/>
          <w:b w:val="0"/>
          <w:sz w:val="22"/>
        </w:rPr>
      </w:pPr>
    </w:p>
    <w:p>
      <w:pPr>
        <w:spacing w:after="120"/>
        <w:jc w:val="center"/>
        <w:rPr>
          <w:rStyle w:val="C3"/>
          <w:rFonts w:ascii="Arial" w:hAnsi="Arial"/>
          <w:b w:val="0"/>
          <w:sz w:val="22"/>
        </w:rPr>
      </w:pPr>
      <w:r>
        <w:rPr>
          <w:rStyle w:val="C3"/>
          <w:rFonts w:ascii="Arial" w:hAnsi="Arial"/>
          <w:b w:val="1"/>
          <w:sz w:val="22"/>
        </w:rPr>
        <w:t>Методолошке напомене</w:t>
      </w:r>
    </w:p>
    <w:p>
      <w:pPr>
        <w:jc w:val="center"/>
        <w:rPr>
          <w:rStyle w:val="C3"/>
          <w:rFonts w:ascii="Arial" w:hAnsi="Arial"/>
          <w:b w:val="0"/>
          <w:sz w:val="20"/>
        </w:rPr>
      </w:pP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Ово саопштење представља резултат редовног „Кварталног структурнoг истраживања о пословању привредних друштава“ – СБС-03 (коначни подаци у годишњој периодици објављивани су у едицији </w:t>
      </w:r>
      <w:r>
        <w:rPr>
          <w:rStyle w:val="C3"/>
          <w:rFonts w:ascii="Arial" w:hAnsi="Arial"/>
          <w:i w:val="1"/>
          <w:sz w:val="20"/>
        </w:rPr>
        <w:t>Радни документи</w:t>
      </w:r>
      <w:r>
        <w:rPr>
          <w:rStyle w:val="C3"/>
          <w:rFonts w:ascii="Arial" w:hAnsi="Arial"/>
          <w:sz w:val="20"/>
        </w:rPr>
        <w:t xml:space="preserve">, за период 2007–2015, а од 2016. године подаци се налазе у статистичкој бази података на сајту Републичког завода за статистику: </w:t>
      </w:r>
      <w:r>
        <w:rPr>
          <w:rStyle w:val="C3"/>
          <w:rFonts w:ascii="Arial" w:hAnsi="Arial"/>
          <w:sz w:val="20"/>
        </w:rPr>
        <w:fldChar w:fldCharType="begin"/>
      </w:r>
      <w:r>
        <w:rPr>
          <w:rStyle w:val="C3"/>
          <w:rFonts w:ascii="Arial" w:hAnsi="Arial"/>
          <w:sz w:val="20"/>
        </w:rPr>
        <w:instrText xml:space="preserve"> HYPERLINK "http://www.stat.gov.rs/WebSite/public/ReportView.aspx" </w:instrText>
      </w:r>
      <w:r>
        <w:rPr>
          <w:rStyle w:val="C3"/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http://www.stat.gov.rs/WebSite/public/ReportView.aspx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Style w:val="C3"/>
          <w:rFonts w:ascii="Arial" w:hAnsi="Arial"/>
          <w:sz w:val="20"/>
        </w:rPr>
        <w:t>).</w:t>
      </w:r>
    </w:p>
    <w:p>
      <w:pPr>
        <w:spacing w:lineRule="auto" w:line="252" w:before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Истраживање се спроводи на узорку изабраних привредних друштава и других правних лица која производе и пружају услуге претежно за тржиште, тј. оних субјеката који су по свом функционисању сврстани у нефинансијску пословну економију. Нефинансијска пословна економија по КД не обухвата секторе К (Финансијске делатности и делатност осигурања) и О (Државна управа и одбрана; обавезно социјално осигурање). Оквир за избор узорка формиран је на основу скупа пословних субјеката Статистичког пословног регистра. Изабран је стратификован прост случајни узорак обима 2833, од којих је у реализованом узорку 2484 јединице (88%). За индекс четврти квартал 2017. у односу на четврти квартал 2016. оцена стандардне грешке</w:t>
      </w:r>
      <w:r>
        <w:rPr>
          <w:rStyle w:val="C3"/>
          <w:rFonts w:ascii="Arial" w:hAnsi="Arial"/>
          <w:sz w:val="20"/>
          <w:vertAlign w:val="superscript"/>
        </w:rPr>
        <w:t xml:space="preserve">1) </w:t>
      </w:r>
      <w:r>
        <w:rPr>
          <w:rStyle w:val="C3"/>
          <w:rFonts w:ascii="Arial" w:hAnsi="Arial"/>
          <w:sz w:val="20"/>
        </w:rPr>
        <w:t>пословних прихода је 2,6, а пословних расхода 2,7. За индекс четврти квартал 2017. у односу на трећи квартал 2017. оцена стандардне грешке пословних прихода је 2,1, а пословних расхода 1,4.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Предузетници нису обухваћени. 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Пословни субјекти су разврстани </w:t>
      </w:r>
      <w:r>
        <w:rPr>
          <w:rStyle w:val="C3"/>
          <w:rFonts w:ascii="Arial" w:hAnsi="Arial"/>
          <w:i w:val="1"/>
          <w:sz w:val="20"/>
        </w:rPr>
        <w:t>према претежној делатности</w:t>
      </w:r>
      <w:r>
        <w:rPr>
          <w:rStyle w:val="C3"/>
          <w:rFonts w:ascii="Arial" w:hAnsi="Arial"/>
          <w:sz w:val="20"/>
        </w:rPr>
        <w:t xml:space="preserve"> (за извештајну јединицу у целини).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Основни извори података за попуњавање извештаја јесу </w:t>
      </w:r>
      <w:r>
        <w:rPr>
          <w:rStyle w:val="C3"/>
          <w:rFonts w:ascii="Arial" w:hAnsi="Arial"/>
          <w:i w:val="1"/>
          <w:sz w:val="20"/>
        </w:rPr>
        <w:t>књиговодствена евиденција</w:t>
      </w:r>
      <w:r>
        <w:rPr>
          <w:rStyle w:val="C3"/>
          <w:rFonts w:ascii="Arial" w:hAnsi="Arial"/>
          <w:sz w:val="20"/>
        </w:rPr>
        <w:t xml:space="preserve"> привредних друштава (финансијско и погонско књиговодство) и остале евиденције (пореска, кадровска) и обрачуни. 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Подаци су дати у текућим ценама. 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>Методолошка објашњења Кварталног структурног истраживања о пословању привредних друштава налазе се на сајту Републичког завода за статистику:</w:t>
      </w:r>
    </w:p>
    <w:p>
      <w:pPr>
        <w:spacing w:lineRule="auto" w:line="252" w:before="120" w:after="12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  </w:t>
      </w:r>
      <w:r>
        <w:rPr>
          <w:rStyle w:val="C3"/>
          <w:rFonts w:ascii="Arial" w:hAnsi="Arial"/>
          <w:sz w:val="20"/>
        </w:rPr>
        <w:fldChar w:fldCharType="begin"/>
      </w:r>
      <w:r>
        <w:rPr>
          <w:rStyle w:val="C3"/>
          <w:rFonts w:ascii="Arial" w:hAnsi="Arial"/>
          <w:sz w:val="20"/>
        </w:rPr>
        <w:instrText xml:space="preserve"> HYPERLINK "http://webrzs.stat.gov.rs/WebSite/Public/PageView.aspx?pKey=171" </w:instrText>
      </w:r>
      <w:r>
        <w:rPr>
          <w:rStyle w:val="C3"/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http://webrzs.stat.gov.rs/WebSite/Public/PageView.aspx?pKey=171</w:t>
      </w:r>
      <w:r>
        <w:rPr>
          <w:rStyle w:val="C2"/>
          <w:rFonts w:ascii="Arial" w:hAnsi="Arial"/>
          <w:sz w:val="20"/>
        </w:rPr>
        <w:fldChar w:fldCharType="end"/>
      </w:r>
      <w:r>
        <w:rPr>
          <w:rStyle w:val="C3"/>
          <w:rFonts w:ascii="Arial" w:hAnsi="Arial"/>
          <w:sz w:val="20"/>
        </w:rPr>
        <w:t>.</w:t>
      </w:r>
    </w:p>
    <w:p>
      <w:pPr>
        <w:spacing w:lineRule="auto" w:line="252" w:before="120" w:after="120"/>
        <w:ind w:firstLine="36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sz w:val="20"/>
        </w:rPr>
        <w:t xml:space="preserve">Серије кварталних индекса (ланчаних и базних) у текућим ценама доступне су на сајту Републичког завода за статистику, у бази података: </w:t>
      </w:r>
      <w:r>
        <w:rPr>
          <w:rStyle w:val="C3"/>
          <w:rFonts w:ascii="Arial" w:hAnsi="Arial"/>
          <w:sz w:val="20"/>
        </w:rPr>
        <w:fldChar w:fldCharType="begin"/>
      </w:r>
      <w:r>
        <w:rPr>
          <w:rStyle w:val="C3"/>
          <w:rFonts w:ascii="Arial" w:hAnsi="Arial"/>
          <w:sz w:val="20"/>
        </w:rPr>
        <w:instrText xml:space="preserve"> HYPERLINK "http://webrzs.stat.gov.rs/WebSite/public/ReportView.aspx" </w:instrText>
      </w:r>
      <w:r>
        <w:rPr>
          <w:rStyle w:val="C3"/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http://webrzs.stat.gov.rs/WebSite/public/ReportView.aspx</w:t>
      </w:r>
      <w:r>
        <w:rPr>
          <w:rStyle w:val="C2"/>
          <w:rFonts w:ascii="Arial" w:hAnsi="Arial"/>
          <w:sz w:val="20"/>
        </w:rPr>
        <w:fldChar w:fldCharType="end"/>
      </w:r>
      <w:r>
        <w:rPr>
          <w:rStyle w:val="C3"/>
          <w:rFonts w:ascii="Arial" w:hAnsi="Arial"/>
          <w:sz w:val="20"/>
        </w:rPr>
        <w:t>.</w:t>
      </w:r>
    </w:p>
    <w:p>
      <w:pPr>
        <w:spacing w:before="120" w:after="120"/>
        <w:jc w:val="both"/>
        <w:rPr>
          <w:rStyle w:val="C3"/>
          <w:rFonts w:ascii="Arial" w:hAnsi="Arial"/>
          <w:sz w:val="20"/>
        </w:rPr>
      </w:pPr>
    </w:p>
    <w:p>
      <w:pPr>
        <w:jc w:val="center"/>
        <w:rPr>
          <w:rStyle w:val="C3"/>
          <w:rFonts w:ascii="Arial" w:hAnsi="Arial"/>
          <w:sz w:val="20"/>
        </w:rPr>
      </w:pPr>
    </w:p>
    <w:p>
      <w:pPr>
        <w:jc w:val="center"/>
        <w:rPr>
          <w:rStyle w:val="C3"/>
          <w:rFonts w:ascii="Arial" w:hAnsi="Arial"/>
          <w:sz w:val="20"/>
        </w:rPr>
      </w:pPr>
    </w:p>
    <w:p>
      <w:pPr>
        <w:jc w:val="center"/>
        <w:rPr>
          <w:rStyle w:val="C3"/>
          <w:rFonts w:ascii="Arial" w:hAnsi="Arial"/>
          <w:sz w:val="20"/>
        </w:rPr>
      </w:pPr>
    </w:p>
    <w:p>
      <w:pPr>
        <w:jc w:val="center"/>
        <w:rPr>
          <w:rStyle w:val="C3"/>
          <w:rFonts w:ascii="Arial" w:hAnsi="Arial"/>
          <w:sz w:val="22"/>
        </w:rPr>
      </w:pPr>
    </w:p>
    <w:p>
      <w:pPr>
        <w:pStyle w:val="P27"/>
        <w:rPr>
          <w:rStyle w:val="C6"/>
          <w:vertAlign w:val="baseline"/>
        </w:rPr>
      </w:pPr>
      <w:r>
        <w:rPr>
          <w:rStyle w:val="C3"/>
        </w:rPr>
        <w:t>1</w:t>
      </w:r>
      <w:r>
        <w:t>)</w:t>
      </w:r>
      <w:r>
        <w:rPr>
          <w:rStyle w:val="C6"/>
          <w:vertAlign w:val="baseline"/>
        </w:rPr>
        <w:t xml:space="preserve"> Стандардна грешка је мера одступања оцене узорка од праве вредности и једнака је квадратном корену варијансе. </w:t>
      </w:r>
    </w:p>
    <w:p>
      <w:pPr>
        <w:jc w:val="center"/>
        <w:rPr>
          <w:rStyle w:val="C3"/>
          <w:rFonts w:ascii="Arial" w:hAnsi="Arial"/>
          <w:sz w:val="20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14"/>
        </w:rPr>
      </w:pPr>
    </w:p>
    <w:p>
      <w:pPr>
        <w:tabs>
          <w:tab w:val="left" w:pos="7800" w:leader="none"/>
        </w:tabs>
        <w:rPr>
          <w:rStyle w:val="C3"/>
          <w:rFonts w:ascii="Arial" w:hAnsi="Arial"/>
          <w:sz w:val="6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9639" w:type="dxa"/>
          </w:tcPr>
          <w:p>
            <w:pPr>
              <w:jc w:val="both"/>
              <w:rPr>
                <w:rStyle w:val="C3"/>
                <w:rFonts w:ascii="Arial" w:hAnsi="Arial"/>
                <w:sz w:val="2"/>
              </w:rPr>
            </w:pPr>
          </w:p>
        </w:tc>
      </w:tr>
    </w:tbl>
    <w:p>
      <w:pPr>
        <w:rPr>
          <w:rStyle w:val="C3"/>
          <w:rFonts w:ascii="Arial" w:hAnsi="Arial"/>
          <w:sz w:val="10"/>
        </w:rPr>
      </w:pPr>
    </w:p>
    <w:p>
      <w:pPr>
        <w:jc w:val="center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Контакт: </w:t>
      </w:r>
      <w:r>
        <w:rPr>
          <w:rStyle w:val="C3"/>
          <w:rFonts w:ascii="Arial" w:hAnsi="Arial"/>
          <w:sz w:val="18"/>
        </w:rPr>
        <w:fldChar w:fldCharType="begin"/>
      </w:r>
      <w:r>
        <w:rPr>
          <w:rStyle w:val="C3"/>
          <w:rFonts w:ascii="Arial" w:hAnsi="Arial"/>
          <w:sz w:val="18"/>
        </w:rPr>
        <w:instrText xml:space="preserve"> HYPERLINK "mailto:gordana.zamaklar@stat.gov.rs" </w:instrText>
      </w:r>
      <w:r>
        <w:rPr>
          <w:rStyle w:val="C3"/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gordana.zamaklar@stat.gov.rs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Style w:val="C3"/>
          <w:rFonts w:ascii="Arial" w:hAnsi="Arial"/>
          <w:sz w:val="18"/>
        </w:rPr>
        <w:t>, телефон: 011 24-12-922, локал 352</w:t>
      </w:r>
    </w:p>
    <w:p>
      <w:pPr>
        <w:jc w:val="center"/>
        <w:rPr>
          <w:rStyle w:val="C3"/>
          <w:rFonts w:ascii="Arial" w:hAnsi="Arial"/>
          <w:sz w:val="14"/>
        </w:rPr>
      </w:pPr>
      <w:r>
        <w:rPr>
          <w:rStyle w:val="C3"/>
          <w:rFonts w:ascii="Arial" w:hAnsi="Arial"/>
          <w:sz w:val="18"/>
        </w:rPr>
        <w:t xml:space="preserve">Издаје и штампа: Републички завод за статистику, 11 050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др Миладин Ковачевић, директор </w:t>
        <w:br w:type="textWrapping"/>
        <w:t>Tираж: 20 ● Периодика излажења: квартална</w:t>
      </w:r>
    </w:p>
    <w:p>
      <w:pPr>
        <w:spacing w:after="120"/>
        <w:jc w:val="center"/>
        <w:rPr>
          <w:rStyle w:val="C3"/>
          <w:sz w:val="2"/>
        </w:rPr>
      </w:pPr>
    </w:p>
    <w:p>
      <w:pPr>
        <w:jc w:val="center"/>
        <w:rPr>
          <w:rStyle w:val="C3"/>
          <w:rFonts w:ascii="Arial" w:hAnsi="Arial"/>
          <w:sz w:val="14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margin" w:x="-16" w:y="1"/>
      <w:rPr>
        <w:rStyle w:val="C7"/>
      </w:rPr>
    </w:pPr>
    <w:r>
      <w:fldChar w:fldCharType="begin"/>
    </w:r>
    <w:r>
      <w:rPr>
        <w:rStyle w:val="C7"/>
      </w:rPr>
      <w:instrText xml:space="preserve">PAGE  </w:instrText>
    </w:r>
    <w:r>
      <w:rPr>
        <w:rStyle w:val="C7"/>
      </w:rPr>
      <w:fldChar w:fldCharType="separate"/>
    </w:r>
    <w:r>
      <w:rPr>
        <w:rStyle w:val="C7"/>
      </w:rPr>
      <w:t>#</w:t>
    </w:r>
    <w:r>
      <w:rPr>
        <w:rStyle w:val="C7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Style w:val="C3"/>
        <w:rFonts w:ascii="Arial" w:hAnsi="Arial"/>
        <w:sz w:val="16"/>
      </w:rPr>
    </w:pPr>
    <w:r>
      <w:rPr>
        <w:rStyle w:val="C7"/>
        <w:rFonts w:ascii="Arial" w:hAnsi="Arial"/>
        <w:sz w:val="16"/>
      </w:rPr>
      <w:t>СРБ 101 СУ10 150409</w:t>
    </w:r>
    <w:r>
      <w:rPr>
        <w:rStyle w:val="C3"/>
        <w:rFonts w:ascii="Arial" w:hAnsi="Arial"/>
        <w:sz w:val="16"/>
      </w:rPr>
      <w:tab/>
    </w:r>
    <w:r>
      <w:rPr>
        <w:rStyle w:val="C7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wrap="around" w:vAnchor="text" w:hAnchor="page" w:x="884" w:y="-3"/>
      <w:rPr>
        <w:rStyle w:val="C7"/>
        <w:rFonts w:ascii="Arial" w:hAnsi="Arial"/>
        <w:sz w:val="16"/>
      </w:rPr>
    </w:pPr>
    <w:r>
      <w:fldChar w:fldCharType="begin"/>
    </w:r>
    <w:r>
      <w:rPr>
        <w:rStyle w:val="C7"/>
        <w:rFonts w:ascii="Arial" w:hAnsi="Arial"/>
        <w:sz w:val="16"/>
      </w:rPr>
      <w:instrText xml:space="preserve">PAGE  </w:instrText>
    </w:r>
    <w:r>
      <w:rPr>
        <w:rStyle w:val="C7"/>
        <w:rFonts w:ascii="Arial" w:hAnsi="Arial"/>
        <w:sz w:val="16"/>
      </w:rPr>
      <w:fldChar w:fldCharType="separate"/>
    </w:r>
    <w:r>
      <w:rPr>
        <w:rStyle w:val="C7"/>
        <w:rFonts w:ascii="Arial" w:hAnsi="Arial"/>
        <w:sz w:val="16"/>
      </w:rPr>
      <w:t>#</w:t>
    </w:r>
    <w:r>
      <w:rPr>
        <w:rStyle w:val="C7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rPr>
        <w:rStyle w:val="C3"/>
        <w:rFonts w:ascii="Arial" w:hAnsi="Arial"/>
        <w:sz w:val="16"/>
      </w:rPr>
      <w:t>СРБ054 ПС10 050318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1D81A3F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7684E8A4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4FA151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440D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565BC5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CFA6D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8C260D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71B7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9EE321F"/>
    <w:multiLevelType w:val="hybridMultilevel"/>
    <w:lvl w:ilvl="0" w:tplc="4FC723D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D5CFC8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5FF8A4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B4E5BCC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22E218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31A06B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05C741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01A5F2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0466BC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C340A6"/>
    <w:multiLevelType w:val="hybridMultilevel"/>
    <w:lvl w:ilvl="0" w:tplc="0A0AEE2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41AF6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C7CD9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6930F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8F2FE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A43236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786801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5029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15BE16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6C16706"/>
    <w:multiLevelType w:val="hybridMultilevel"/>
    <w:lvl w:ilvl="0" w:tplc="7DF76E3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096EB7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82C57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15DC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87A2F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5C66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78E0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BEF29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F7BCAD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E571AD5"/>
    <w:multiLevelType w:val="hybridMultilevel"/>
    <w:lvl w:ilvl="0" w:tplc="6AD5BC6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50B6C4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5656E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065992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2CDEC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12F10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51AC5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DB1A0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C2068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qFormat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qFormat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qFormat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qFormat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 Char Char"/>
    <w:basedOn w:val="P0"/>
    <w:next w:val="P20"/>
    <w:link w:val="C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qFormat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6"/>
    <w:pPr/>
    <w:rPr>
      <w:rFonts w:ascii="Arial" w:hAnsi="Arial"/>
      <w:sz w:val="14"/>
    </w:rPr>
  </w:style>
  <w:style w:type="paragraph" w:styleId="P29">
    <w:name w:val="Char Char Char Char Char1 Char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 Char Char Char Char"/>
    <w:basedOn w:val="P0"/>
    <w:next w:val="P3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1">
    <w:name w:val="Body Text First Indent"/>
    <w:basedOn w:val="P13"/>
    <w:next w:val="P31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32">
    <w:name w:val="Comment Subject"/>
    <w:basedOn w:val="P21"/>
    <w:next w:val="P21"/>
    <w:pPr/>
    <w:rPr>
      <w:b w:val="1"/>
    </w:rPr>
  </w:style>
  <w:style w:type="paragraph" w:styleId="P33">
    <w:name w:val="Naslov saopstenja"/>
    <w:basedOn w:val="P24"/>
    <w:next w:val="P25"/>
    <w:pPr>
      <w:spacing w:after="0"/>
    </w:pPr>
    <w:rPr>
      <w:sz w:val="24"/>
    </w:rPr>
  </w:style>
  <w:style w:type="paragraph" w:styleId="P34">
    <w:name w:val="Tekst Metodologija i Napomena"/>
    <w:basedOn w:val="P31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 Char Char1"/>
    <w:link w:val="P20"/>
    <w:rPr>
      <w:rFonts w:ascii="Arial" w:hAnsi="Arial"/>
      <w:b w:val="1"/>
      <w:color w:val="000000"/>
    </w:rPr>
  </w:style>
  <w:style w:type="character" w:styleId="C4">
    <w:name w:val="Footnote Reference"/>
    <w:rPr>
      <w:vertAlign w:val="superscript"/>
    </w:rPr>
  </w:style>
  <w:style w:type="character" w:styleId="C5">
    <w:name w:val="Comment Reference"/>
    <w:rPr>
      <w:sz w:val="16"/>
    </w:rPr>
  </w:style>
  <w:style w:type="character" w:styleId="C6">
    <w:name w:val="Fusnota-Tekst1 Char"/>
    <w:link w:val="P28"/>
    <w:rPr>
      <w:rFonts w:ascii="Arial" w:hAnsi="Arial"/>
      <w:sz w:val="14"/>
    </w:rPr>
  </w:style>
  <w:style w:type="character" w:styleId="C7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2014-06-19T07:29:00Z</dcterms:created>
  <cp:lastModifiedBy>Nikola Kapetanovic</cp:lastModifiedBy>
  <cp:lastPrinted>2018-03-02T10:47:00Z</cp:lastPrinted>
  <dcterms:modified xsi:type="dcterms:W3CDTF">2020-01-10T11:25:13Z</dcterms:modified>
  <cp:revision>67</cp:revision>
  <dc:title>Република Србија</dc:title>
</cp:coreProperties>
</file>