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147DEF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147DEF" w:rsidRDefault="00C149A4" w:rsidP="001C0C7C">
            <w:pPr>
              <w:rPr>
                <w:rFonts w:cs="Arial"/>
                <w:color w:val="808080"/>
                <w:szCs w:val="20"/>
              </w:rPr>
            </w:pPr>
            <w:r w:rsidRPr="00147DEF">
              <w:rPr>
                <w:color w:val="808080"/>
                <w:sz w:val="8"/>
                <w:szCs w:val="8"/>
              </w:rPr>
              <w:t xml:space="preserve">  </w:t>
            </w:r>
            <w:r w:rsidR="0041739D" w:rsidRPr="00147DEF">
              <w:rPr>
                <w:color w:val="808080"/>
                <w:sz w:val="8"/>
                <w:szCs w:val="8"/>
              </w:rPr>
              <w:t xml:space="preserve">   </w:t>
            </w:r>
            <w:r w:rsidRPr="00147DEF">
              <w:rPr>
                <w:color w:val="808080"/>
                <w:sz w:val="8"/>
                <w:szCs w:val="8"/>
              </w:rPr>
              <w:t xml:space="preserve">               </w:t>
            </w:r>
            <w:r w:rsidR="00C1673A" w:rsidRPr="00147DEF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3A" w:rsidRPr="00147DEF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904240" cy="22098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2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C40D9" id="AutoShape 1" o:spid="_x0000_s1026" style="width:7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147DEF" w:rsidRDefault="004F2649" w:rsidP="001C0C7C">
            <w:pPr>
              <w:rPr>
                <w:rFonts w:cs="Arial"/>
                <w:szCs w:val="20"/>
              </w:rPr>
            </w:pPr>
            <w:r w:rsidRPr="00147DEF">
              <w:rPr>
                <w:rFonts w:cs="Arial"/>
                <w:szCs w:val="20"/>
              </w:rPr>
              <w:t>Republic of Serbia</w:t>
            </w:r>
          </w:p>
          <w:p w:rsidR="002577D1" w:rsidRPr="00147DEF" w:rsidRDefault="004F2649" w:rsidP="004F2649">
            <w:pPr>
              <w:rPr>
                <w:rFonts w:cs="Arial"/>
                <w:szCs w:val="20"/>
              </w:rPr>
            </w:pPr>
            <w:r w:rsidRPr="00147DEF">
              <w:rPr>
                <w:rFonts w:cs="Arial"/>
                <w:szCs w:val="20"/>
              </w:rPr>
              <w:t>Statistical Office of the Republic of Serbia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:rsidR="002577D1" w:rsidRPr="00147DEF" w:rsidRDefault="002577D1" w:rsidP="001C0C7C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147DEF">
              <w:rPr>
                <w:rFonts w:cs="Arial"/>
                <w:szCs w:val="20"/>
              </w:rPr>
              <w:t>ISSN 0353-9555</w:t>
            </w:r>
          </w:p>
        </w:tc>
      </w:tr>
      <w:tr w:rsidR="002577D1" w:rsidRPr="00147DEF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77D1" w:rsidRPr="00147DEF" w:rsidRDefault="004F2649" w:rsidP="001C0C7C">
            <w:pPr>
              <w:rPr>
                <w:color w:val="808080"/>
                <w:szCs w:val="20"/>
              </w:rPr>
            </w:pPr>
            <w:r w:rsidRPr="00147DEF">
              <w:rPr>
                <w:rFonts w:cs="Arial"/>
                <w:b/>
                <w:color w:val="808080"/>
                <w:sz w:val="48"/>
                <w:szCs w:val="48"/>
              </w:rPr>
              <w:t>STATISTICAL RELEASE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77D1" w:rsidRPr="00147DEF" w:rsidRDefault="004F2649" w:rsidP="00AC2005">
            <w:pPr>
              <w:jc w:val="right"/>
              <w:rPr>
                <w:b/>
                <w:color w:val="808080"/>
                <w:sz w:val="12"/>
              </w:rPr>
            </w:pPr>
            <w:r w:rsidRPr="00147DEF">
              <w:rPr>
                <w:rFonts w:cs="Arial"/>
                <w:b/>
                <w:bCs/>
                <w:color w:val="808080"/>
                <w:sz w:val="48"/>
                <w:szCs w:val="48"/>
              </w:rPr>
              <w:t>DD</w:t>
            </w:r>
            <w:r w:rsidR="00AC2005" w:rsidRPr="00147DEF">
              <w:rPr>
                <w:rFonts w:cs="Arial"/>
                <w:b/>
                <w:bCs/>
                <w:color w:val="808080"/>
                <w:sz w:val="48"/>
                <w:szCs w:val="48"/>
              </w:rPr>
              <w:t>6</w:t>
            </w:r>
            <w:r w:rsidR="00A24A95" w:rsidRPr="00147DEF">
              <w:rPr>
                <w:rFonts w:cs="Arial"/>
                <w:b/>
                <w:bCs/>
                <w:color w:val="808080"/>
                <w:sz w:val="48"/>
                <w:szCs w:val="48"/>
              </w:rPr>
              <w:t>0</w:t>
            </w:r>
          </w:p>
        </w:tc>
      </w:tr>
      <w:tr w:rsidR="002577D1" w:rsidRPr="00147DEF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D1" w:rsidRPr="00147DEF" w:rsidRDefault="004F2649" w:rsidP="004F2649">
            <w:pPr>
              <w:rPr>
                <w:rFonts w:cs="Arial"/>
                <w:szCs w:val="20"/>
              </w:rPr>
            </w:pPr>
            <w:r w:rsidRPr="00147DEF">
              <w:rPr>
                <w:rFonts w:cs="Arial"/>
                <w:szCs w:val="20"/>
              </w:rPr>
              <w:t xml:space="preserve">Number </w:t>
            </w:r>
            <w:r w:rsidR="00AC2005" w:rsidRPr="00147DEF">
              <w:rPr>
                <w:rFonts w:cs="Arial"/>
                <w:szCs w:val="20"/>
              </w:rPr>
              <w:t>131</w:t>
            </w:r>
            <w:r w:rsidR="002577D1" w:rsidRPr="00147DEF">
              <w:rPr>
                <w:rFonts w:cs="Arial"/>
                <w:szCs w:val="20"/>
              </w:rPr>
              <w:t xml:space="preserve"> - </w:t>
            </w:r>
            <w:r w:rsidRPr="00147DEF">
              <w:rPr>
                <w:rFonts w:cs="Arial"/>
                <w:szCs w:val="20"/>
              </w:rPr>
              <w:t>Year</w:t>
            </w:r>
            <w:r w:rsidR="002577D1" w:rsidRPr="00147DEF">
              <w:rPr>
                <w:rFonts w:cs="Arial"/>
                <w:szCs w:val="20"/>
              </w:rPr>
              <w:t xml:space="preserve"> LX</w:t>
            </w:r>
            <w:r w:rsidR="008948E0" w:rsidRPr="00147DEF">
              <w:rPr>
                <w:rFonts w:cs="Arial"/>
                <w:szCs w:val="20"/>
              </w:rPr>
              <w:t>V</w:t>
            </w:r>
            <w:r w:rsidR="002F56F8" w:rsidRPr="00147DEF">
              <w:rPr>
                <w:rFonts w:cs="Arial"/>
                <w:szCs w:val="20"/>
              </w:rPr>
              <w:t>I</w:t>
            </w:r>
            <w:r w:rsidR="00B23AAE" w:rsidRPr="00147DEF">
              <w:rPr>
                <w:rFonts w:cs="Arial"/>
                <w:szCs w:val="20"/>
              </w:rPr>
              <w:t>I</w:t>
            </w:r>
            <w:r w:rsidR="00F2416D" w:rsidRPr="00147DEF">
              <w:rPr>
                <w:rFonts w:cs="Arial"/>
                <w:szCs w:val="20"/>
              </w:rPr>
              <w:t>I</w:t>
            </w:r>
            <w:r w:rsidR="002577D1" w:rsidRPr="00147DEF">
              <w:rPr>
                <w:rFonts w:cs="Arial"/>
                <w:szCs w:val="20"/>
              </w:rPr>
              <w:t xml:space="preserve">, </w:t>
            </w:r>
            <w:r w:rsidR="00AC2005" w:rsidRPr="00147DEF">
              <w:rPr>
                <w:rFonts w:cs="Arial"/>
                <w:szCs w:val="20"/>
              </w:rPr>
              <w:t>30</w:t>
            </w:r>
            <w:r w:rsidR="002577D1" w:rsidRPr="00147DEF">
              <w:rPr>
                <w:rFonts w:cs="Arial"/>
                <w:szCs w:val="20"/>
              </w:rPr>
              <w:t>.</w:t>
            </w:r>
            <w:r w:rsidR="00F2416D" w:rsidRPr="00147DEF">
              <w:rPr>
                <w:rFonts w:cs="Arial"/>
                <w:szCs w:val="20"/>
              </w:rPr>
              <w:t>0</w:t>
            </w:r>
            <w:r w:rsidR="00AC2005" w:rsidRPr="00147DEF">
              <w:rPr>
                <w:rFonts w:cs="Arial"/>
                <w:szCs w:val="20"/>
              </w:rPr>
              <w:t>5</w:t>
            </w:r>
            <w:r w:rsidR="002577D1" w:rsidRPr="00147DEF">
              <w:rPr>
                <w:rFonts w:cs="Arial"/>
                <w:szCs w:val="20"/>
              </w:rPr>
              <w:t>.</w:t>
            </w:r>
            <w:r w:rsidR="00996365" w:rsidRPr="00147DEF">
              <w:rPr>
                <w:rFonts w:cs="Arial"/>
                <w:szCs w:val="20"/>
              </w:rPr>
              <w:t>201</w:t>
            </w:r>
            <w:r w:rsidR="00F2416D" w:rsidRPr="00147DEF">
              <w:rPr>
                <w:rFonts w:cs="Arial"/>
                <w:szCs w:val="20"/>
              </w:rPr>
              <w:t>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D1" w:rsidRPr="00147DEF" w:rsidRDefault="002577D1" w:rsidP="001C0C7C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2577D1" w:rsidRPr="00147DEF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147DEF" w:rsidRDefault="004F2649" w:rsidP="00E3719C">
            <w:pPr>
              <w:rPr>
                <w:b/>
                <w:bCs/>
                <w:sz w:val="24"/>
              </w:rPr>
            </w:pPr>
            <w:r w:rsidRPr="00147DEF">
              <w:rPr>
                <w:rFonts w:cs="Arial"/>
                <w:b/>
                <w:bCs/>
                <w:sz w:val="24"/>
              </w:rPr>
              <w:t>Education 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147DEF" w:rsidRDefault="004F2649" w:rsidP="006E6BA4">
            <w:pPr>
              <w:jc w:val="right"/>
              <w:rPr>
                <w:b/>
                <w:szCs w:val="20"/>
              </w:rPr>
            </w:pPr>
            <w:r w:rsidRPr="00147DEF">
              <w:rPr>
                <w:rFonts w:cs="Arial"/>
                <w:szCs w:val="20"/>
              </w:rPr>
              <w:t>SERB</w:t>
            </w:r>
            <w:r w:rsidR="00AC2005" w:rsidRPr="00147DEF">
              <w:rPr>
                <w:rFonts w:cs="Arial"/>
                <w:szCs w:val="20"/>
              </w:rPr>
              <w:t>131</w:t>
            </w:r>
            <w:r w:rsidR="002577D1" w:rsidRPr="00147DEF">
              <w:rPr>
                <w:rFonts w:cs="Arial"/>
                <w:szCs w:val="20"/>
              </w:rPr>
              <w:t xml:space="preserve"> </w:t>
            </w:r>
            <w:r w:rsidRPr="00147DEF">
              <w:rPr>
                <w:rFonts w:cs="Arial"/>
                <w:szCs w:val="20"/>
              </w:rPr>
              <w:t>DD</w:t>
            </w:r>
            <w:r w:rsidR="006E6BA4">
              <w:rPr>
                <w:rFonts w:cs="Arial"/>
                <w:szCs w:val="20"/>
              </w:rPr>
              <w:t>6</w:t>
            </w:r>
            <w:r w:rsidR="00A24A95" w:rsidRPr="00147DEF">
              <w:rPr>
                <w:rFonts w:cs="Arial"/>
                <w:szCs w:val="20"/>
              </w:rPr>
              <w:t>0</w:t>
            </w:r>
            <w:r w:rsidR="00996365" w:rsidRPr="00147DEF">
              <w:rPr>
                <w:rFonts w:cs="Arial"/>
                <w:szCs w:val="20"/>
              </w:rPr>
              <w:t xml:space="preserve"> </w:t>
            </w:r>
            <w:r w:rsidR="00AC2005" w:rsidRPr="00147DEF">
              <w:rPr>
                <w:rFonts w:cs="Arial"/>
                <w:szCs w:val="20"/>
              </w:rPr>
              <w:t>300518</w:t>
            </w:r>
          </w:p>
        </w:tc>
      </w:tr>
    </w:tbl>
    <w:p w:rsidR="002D5D8C" w:rsidRPr="00147DEF" w:rsidRDefault="002D5D8C" w:rsidP="00AC2005">
      <w:pPr>
        <w:pStyle w:val="Heading8"/>
        <w:spacing w:before="840" w:after="480"/>
        <w:rPr>
          <w:sz w:val="24"/>
          <w:lang w:val="en-GB"/>
        </w:rPr>
      </w:pPr>
      <w:r w:rsidRPr="00147DEF">
        <w:rPr>
          <w:sz w:val="24"/>
          <w:lang w:val="en-GB"/>
        </w:rPr>
        <w:t xml:space="preserve">Adult Education Survey, 2016 </w:t>
      </w:r>
      <w:bookmarkStart w:id="0" w:name="_GoBack"/>
      <w:bookmarkEnd w:id="0"/>
    </w:p>
    <w:p w:rsidR="00AC2005" w:rsidRPr="00147DEF" w:rsidRDefault="00AC2005" w:rsidP="00AC2005">
      <w:pPr>
        <w:pStyle w:val="NoSpacing"/>
        <w:spacing w:before="240"/>
        <w:ind w:firstLine="397"/>
        <w:jc w:val="both"/>
        <w:rPr>
          <w:rFonts w:ascii="Arial" w:hAnsi="Arial" w:cs="Arial"/>
          <w:bCs/>
          <w:color w:val="FF0000"/>
          <w:sz w:val="20"/>
          <w:szCs w:val="20"/>
          <w:lang w:val="en-GB"/>
        </w:rPr>
      </w:pPr>
      <w:r w:rsidRPr="00147DE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Adult Education Survey – AES</w:t>
      </w:r>
      <w:r w:rsidRPr="00147DE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gramStart"/>
      <w:r w:rsidR="002D5D8C" w:rsidRPr="00147DEF">
        <w:rPr>
          <w:rFonts w:ascii="Arial" w:hAnsi="Arial" w:cs="Arial"/>
          <w:bCs/>
          <w:sz w:val="20"/>
          <w:szCs w:val="20"/>
          <w:lang w:val="en-GB"/>
        </w:rPr>
        <w:t>was conducted</w:t>
      </w:r>
      <w:proofErr w:type="gramEnd"/>
      <w:r w:rsidR="002D5D8C" w:rsidRPr="00147DEF">
        <w:rPr>
          <w:rFonts w:ascii="Arial" w:hAnsi="Arial" w:cs="Arial"/>
          <w:bCs/>
          <w:sz w:val="20"/>
          <w:szCs w:val="20"/>
          <w:lang w:val="en-GB"/>
        </w:rPr>
        <w:t xml:space="preserve"> for the second time in the Republic of Serbia in 2016.</w:t>
      </w:r>
      <w:r w:rsidRPr="00147DEF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</w:t>
      </w:r>
    </w:p>
    <w:p w:rsidR="00AC2005" w:rsidRPr="00147DEF" w:rsidRDefault="002D5D8C" w:rsidP="00AC2005">
      <w:pPr>
        <w:spacing w:before="240"/>
        <w:ind w:firstLine="397"/>
        <w:jc w:val="both"/>
        <w:rPr>
          <w:color w:val="FF0000"/>
          <w:szCs w:val="20"/>
        </w:rPr>
      </w:pPr>
      <w:r w:rsidRPr="00147DEF">
        <w:rPr>
          <w:szCs w:val="20"/>
        </w:rPr>
        <w:t xml:space="preserve">According to the obtained results, </w:t>
      </w:r>
      <w:r w:rsidRPr="00147DEF">
        <w:rPr>
          <w:b/>
          <w:szCs w:val="20"/>
        </w:rPr>
        <w:t xml:space="preserve">share of adults in some type of formal or </w:t>
      </w:r>
      <w:r w:rsidR="00BA5449" w:rsidRPr="00147DEF">
        <w:rPr>
          <w:b/>
          <w:szCs w:val="20"/>
        </w:rPr>
        <w:t>no</w:t>
      </w:r>
      <w:r w:rsidRPr="00147DEF">
        <w:rPr>
          <w:b/>
          <w:szCs w:val="20"/>
        </w:rPr>
        <w:t>n</w:t>
      </w:r>
      <w:r w:rsidR="00BA5449" w:rsidRPr="00147DEF">
        <w:rPr>
          <w:b/>
          <w:szCs w:val="20"/>
        </w:rPr>
        <w:t xml:space="preserve"> - </w:t>
      </w:r>
      <w:r w:rsidRPr="00147DEF">
        <w:rPr>
          <w:b/>
          <w:szCs w:val="20"/>
        </w:rPr>
        <w:t>formal education or training</w:t>
      </w:r>
      <w:r w:rsidRPr="00147DEF">
        <w:rPr>
          <w:szCs w:val="20"/>
        </w:rPr>
        <w:t xml:space="preserve"> amounted to </w:t>
      </w:r>
      <w:r w:rsidRPr="00147DEF">
        <w:rPr>
          <w:b/>
          <w:szCs w:val="20"/>
        </w:rPr>
        <w:t>19.8%,</w:t>
      </w:r>
      <w:r w:rsidRPr="00147DEF">
        <w:rPr>
          <w:szCs w:val="20"/>
        </w:rPr>
        <w:t xml:space="preserve"> presenting the </w:t>
      </w:r>
      <w:r w:rsidR="00147DEF" w:rsidRPr="00147DEF">
        <w:rPr>
          <w:szCs w:val="20"/>
        </w:rPr>
        <w:t>increase</w:t>
      </w:r>
      <w:r w:rsidRPr="00147DEF">
        <w:rPr>
          <w:szCs w:val="20"/>
        </w:rPr>
        <w:t xml:space="preserve"> relative to 2011 (16.5%), </w:t>
      </w:r>
      <w:r w:rsidR="00E13424" w:rsidRPr="00147DEF">
        <w:rPr>
          <w:szCs w:val="20"/>
        </w:rPr>
        <w:t>but</w:t>
      </w:r>
      <w:r w:rsidRPr="00147DEF">
        <w:rPr>
          <w:szCs w:val="20"/>
        </w:rPr>
        <w:t xml:space="preserve"> being significantly below the EU member states’ average (45.1%).  </w:t>
      </w:r>
    </w:p>
    <w:p w:rsidR="00AC2005" w:rsidRPr="00147DEF" w:rsidRDefault="002D5D8C" w:rsidP="00AC2005">
      <w:pPr>
        <w:spacing w:before="240"/>
        <w:ind w:firstLine="397"/>
        <w:jc w:val="both"/>
        <w:rPr>
          <w:rFonts w:cs="Calibri"/>
          <w:color w:val="FF0000"/>
          <w:szCs w:val="20"/>
        </w:rPr>
      </w:pPr>
      <w:r w:rsidRPr="00147DEF">
        <w:rPr>
          <w:rFonts w:cs="Calibri"/>
          <w:szCs w:val="20"/>
        </w:rPr>
        <w:t xml:space="preserve">In some sort of education or training in the 12-month period preceding the </w:t>
      </w:r>
      <w:r w:rsidR="00E13424" w:rsidRPr="00147DEF">
        <w:rPr>
          <w:rFonts w:cs="Calibri"/>
          <w:szCs w:val="20"/>
        </w:rPr>
        <w:t>survey</w:t>
      </w:r>
      <w:r w:rsidRPr="00147DEF">
        <w:rPr>
          <w:rFonts w:cs="Calibri"/>
          <w:szCs w:val="20"/>
        </w:rPr>
        <w:t>, somewhat more women participated in education/ training (21.4%) than men (18%). Participation rate was the</w:t>
      </w:r>
      <w:r w:rsidR="00E13424" w:rsidRPr="00147DEF">
        <w:rPr>
          <w:rFonts w:cs="Calibri"/>
          <w:szCs w:val="20"/>
        </w:rPr>
        <w:t xml:space="preserve"> </w:t>
      </w:r>
      <w:r w:rsidRPr="00147DEF">
        <w:rPr>
          <w:rFonts w:cs="Calibri"/>
          <w:szCs w:val="20"/>
        </w:rPr>
        <w:t xml:space="preserve">greatest in population aged 25-34, amounting to 29.2%. </w:t>
      </w:r>
    </w:p>
    <w:p w:rsidR="00AC2005" w:rsidRPr="00147DEF" w:rsidRDefault="002D5D8C" w:rsidP="00AC2005">
      <w:pPr>
        <w:spacing w:before="240"/>
        <w:ind w:firstLine="397"/>
        <w:jc w:val="both"/>
      </w:pPr>
      <w:r w:rsidRPr="00147DEF">
        <w:rPr>
          <w:b/>
          <w:szCs w:val="20"/>
        </w:rPr>
        <w:t xml:space="preserve">The most frequently, in lifelong learning participates a woman aged 25-34, with completed tertiary education, employed, living in </w:t>
      </w:r>
      <w:r w:rsidR="00E13424" w:rsidRPr="00147DEF">
        <w:rPr>
          <w:b/>
          <w:szCs w:val="20"/>
        </w:rPr>
        <w:t>town</w:t>
      </w:r>
      <w:r w:rsidRPr="00147DEF">
        <w:rPr>
          <w:b/>
          <w:szCs w:val="20"/>
        </w:rPr>
        <w:t>.</w:t>
      </w:r>
      <w:r w:rsidR="00AC2005" w:rsidRPr="00147DEF">
        <w:rPr>
          <w:b/>
          <w:color w:val="FF0000"/>
          <w:szCs w:val="20"/>
        </w:rPr>
        <w:t xml:space="preserve">  </w:t>
      </w:r>
    </w:p>
    <w:p w:rsidR="00AC2005" w:rsidRPr="00147DEF" w:rsidRDefault="00AC2005" w:rsidP="006010DA">
      <w:pPr>
        <w:spacing w:before="840" w:after="60"/>
        <w:jc w:val="center"/>
        <w:rPr>
          <w:b/>
          <w:color w:val="FF0000"/>
        </w:rPr>
      </w:pPr>
      <w:r w:rsidRPr="00147DEF">
        <w:rPr>
          <w:b/>
        </w:rPr>
        <w:t xml:space="preserve">1. </w:t>
      </w:r>
      <w:r w:rsidR="002D5D8C" w:rsidRPr="00147DEF">
        <w:rPr>
          <w:b/>
        </w:rPr>
        <w:t>Share of adults in formal</w:t>
      </w:r>
      <w:r w:rsidR="00E13424" w:rsidRPr="00147DEF">
        <w:rPr>
          <w:b/>
        </w:rPr>
        <w:t xml:space="preserve"> and/or</w:t>
      </w:r>
      <w:r w:rsidR="002D5D8C" w:rsidRPr="00147DEF">
        <w:rPr>
          <w:b/>
        </w:rPr>
        <w:t xml:space="preserve"> </w:t>
      </w:r>
      <w:r w:rsidR="00BA5449" w:rsidRPr="00147DEF">
        <w:rPr>
          <w:b/>
        </w:rPr>
        <w:t>no</w:t>
      </w:r>
      <w:r w:rsidR="002D5D8C" w:rsidRPr="00147DEF">
        <w:rPr>
          <w:b/>
        </w:rPr>
        <w:t>n</w:t>
      </w:r>
      <w:r w:rsidR="00BA5449" w:rsidRPr="00147DEF">
        <w:rPr>
          <w:b/>
        </w:rPr>
        <w:t xml:space="preserve"> - </w:t>
      </w:r>
      <w:r w:rsidR="002D5D8C" w:rsidRPr="00147DEF">
        <w:rPr>
          <w:b/>
        </w:rPr>
        <w:t>formal education and trainings (</w:t>
      </w:r>
      <w:proofErr w:type="gramStart"/>
      <w:r w:rsidR="002D5D8C" w:rsidRPr="00147DEF">
        <w:rPr>
          <w:b/>
        </w:rPr>
        <w:t>%</w:t>
      </w:r>
      <w:proofErr w:type="gramEnd"/>
      <w:r w:rsidR="002D5D8C" w:rsidRPr="00147DEF">
        <w:rPr>
          <w:b/>
        </w:rPr>
        <w:t xml:space="preserve">)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418"/>
        <w:gridCol w:w="1418"/>
        <w:gridCol w:w="1418"/>
      </w:tblGrid>
      <w:tr w:rsidR="00AC2005" w:rsidRPr="00147DEF" w:rsidTr="00E25382">
        <w:trPr>
          <w:jc w:val="center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:rsidR="00AC2005" w:rsidRPr="00147DEF" w:rsidRDefault="00AC2005" w:rsidP="000143E0">
            <w:pPr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2D5D8C" w:rsidP="000143E0">
            <w:pPr>
              <w:spacing w:before="240" w:after="2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2D5D8C" w:rsidP="000143E0">
            <w:pPr>
              <w:spacing w:before="240" w:after="2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Males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2D5D8C" w:rsidP="000143E0">
            <w:pPr>
              <w:spacing w:before="240" w:after="2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Females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tcBorders>
              <w:top w:val="single" w:sz="4" w:space="0" w:color="808080" w:themeColor="background1" w:themeShade="80"/>
            </w:tcBorders>
          </w:tcPr>
          <w:p w:rsidR="00AC2005" w:rsidRPr="00147DEF" w:rsidRDefault="00AC2005" w:rsidP="00AC20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C2005" w:rsidRPr="00147DEF" w:rsidRDefault="00AC2005" w:rsidP="00AC2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E25382" w:rsidRPr="00147DEF" w:rsidTr="00986CDD">
        <w:trPr>
          <w:jc w:val="center"/>
        </w:trPr>
        <w:tc>
          <w:tcPr>
            <w:tcW w:w="2268" w:type="dxa"/>
            <w:shd w:val="clear" w:color="auto" w:fill="auto"/>
          </w:tcPr>
          <w:p w:rsidR="00AC2005" w:rsidRPr="00147DEF" w:rsidRDefault="002D5D8C" w:rsidP="00AC2005">
            <w:pPr>
              <w:rPr>
                <w:b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:rsidR="00AC2005" w:rsidRPr="00147DEF" w:rsidRDefault="00AC2005" w:rsidP="00AC2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19</w:t>
            </w:r>
            <w:r w:rsidR="006E6BA4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18</w:t>
            </w:r>
            <w:r w:rsidR="006E6BA4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  <w:r w:rsidR="006E6BA4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 w:val="restart"/>
            <w:shd w:val="clear" w:color="auto" w:fill="F2F2F2"/>
            <w:vAlign w:val="center"/>
          </w:tcPr>
          <w:p w:rsidR="00AC2005" w:rsidRPr="00147DEF" w:rsidRDefault="002D5D8C" w:rsidP="00AC2005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Age groups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25-34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29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26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32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shd w:val="clear" w:color="auto" w:fill="F2F2F2"/>
            <w:vAlign w:val="center"/>
          </w:tcPr>
          <w:p w:rsidR="00AC2005" w:rsidRPr="00147DEF" w:rsidRDefault="00AC2005" w:rsidP="00AC20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35-49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23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21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25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shd w:val="clear" w:color="auto" w:fill="F2F2F2"/>
            <w:vAlign w:val="center"/>
          </w:tcPr>
          <w:p w:rsidR="00AC2005" w:rsidRPr="00147DEF" w:rsidRDefault="00AC2005" w:rsidP="00AC20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50-64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10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9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11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C2005" w:rsidRPr="00147DEF" w:rsidRDefault="002D5D8C" w:rsidP="00E13424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 xml:space="preserve">The highest completed education 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2D5D8C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Primary education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/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AC2005" w:rsidRPr="00147DEF" w:rsidRDefault="00AC2005" w:rsidP="00AC20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557A39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Secondary</w:t>
            </w:r>
            <w:r w:rsidR="002D5D8C" w:rsidRPr="00147DEF">
              <w:rPr>
                <w:rFonts w:cs="Arial"/>
                <w:bCs/>
                <w:color w:val="000000"/>
                <w:sz w:val="18"/>
                <w:szCs w:val="18"/>
              </w:rPr>
              <w:t xml:space="preserve"> education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14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13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14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AC2005" w:rsidRPr="00147DEF" w:rsidRDefault="00AC2005" w:rsidP="00AC20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557A39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Terti</w:t>
            </w:r>
            <w:r w:rsidR="002D5D8C" w:rsidRPr="00147DEF">
              <w:rPr>
                <w:rFonts w:cs="Arial"/>
                <w:bCs/>
                <w:color w:val="000000"/>
                <w:sz w:val="18"/>
                <w:szCs w:val="18"/>
              </w:rPr>
              <w:t>ary education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39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35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43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 w:val="restart"/>
            <w:shd w:val="clear" w:color="auto" w:fill="F2F2F2"/>
            <w:vAlign w:val="center"/>
          </w:tcPr>
          <w:p w:rsidR="00AC2005" w:rsidRPr="00147DEF" w:rsidRDefault="00766E3A" w:rsidP="00E13424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Empl</w:t>
            </w:r>
            <w:r w:rsidR="001D168D" w:rsidRPr="00147DEF">
              <w:rPr>
                <w:rFonts w:cs="Arial"/>
                <w:bCs/>
                <w:color w:val="000000"/>
                <w:sz w:val="18"/>
                <w:szCs w:val="18"/>
              </w:rPr>
              <w:t>o</w:t>
            </w: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yment</w:t>
            </w:r>
            <w:r w:rsidR="002D5D8C" w:rsidRPr="00147DEF">
              <w:rPr>
                <w:rFonts w:cs="Arial"/>
                <w:bCs/>
                <w:color w:val="000000"/>
                <w:sz w:val="18"/>
                <w:szCs w:val="18"/>
              </w:rPr>
              <w:t xml:space="preserve"> status 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557A39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Employed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32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26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39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shd w:val="clear" w:color="auto" w:fill="F2F2F2"/>
            <w:vAlign w:val="center"/>
          </w:tcPr>
          <w:p w:rsidR="00AC2005" w:rsidRPr="00147DEF" w:rsidRDefault="00AC2005" w:rsidP="00AC20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557A39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Unemployed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11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10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11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shd w:val="clear" w:color="auto" w:fill="F2F2F2"/>
            <w:vAlign w:val="center"/>
          </w:tcPr>
          <w:p w:rsidR="00AC2005" w:rsidRPr="00147DEF" w:rsidRDefault="00AC2005" w:rsidP="00AC20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557A39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Inactive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9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11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8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C2005" w:rsidRPr="00147DEF" w:rsidRDefault="002D5D8C" w:rsidP="00E13424">
            <w:pPr>
              <w:rPr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 xml:space="preserve">Urbanization level 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557A39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Cities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27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24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29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shd w:val="clear" w:color="auto" w:fill="auto"/>
          </w:tcPr>
          <w:p w:rsidR="00AC2005" w:rsidRPr="00147DEF" w:rsidRDefault="00AC2005" w:rsidP="00AC2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557A39" w:rsidP="00E13424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 xml:space="preserve">Smaller towns and surrounding settlements 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21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19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22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AC2005" w:rsidRPr="00147DEF" w:rsidTr="00986CDD">
        <w:trPr>
          <w:jc w:val="center"/>
        </w:trPr>
        <w:tc>
          <w:tcPr>
            <w:tcW w:w="2268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AC2005" w:rsidRPr="00147DEF" w:rsidRDefault="00AC2005" w:rsidP="00AC2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557A39" w:rsidP="00AC2005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Rural areas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12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11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AC2005" w:rsidRPr="00147DEF" w:rsidRDefault="00AC2005" w:rsidP="00AC2005">
            <w:pPr>
              <w:ind w:right="284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color w:val="000000"/>
                <w:sz w:val="18"/>
                <w:szCs w:val="18"/>
              </w:rPr>
              <w:t>13</w:t>
            </w:r>
            <w:r w:rsidR="006E6BA4">
              <w:rPr>
                <w:rFonts w:cs="Arial"/>
                <w:color w:val="000000"/>
                <w:sz w:val="18"/>
                <w:szCs w:val="18"/>
              </w:rPr>
              <w:t>.</w:t>
            </w:r>
            <w:r w:rsidRPr="00147DEF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</w:tr>
    </w:tbl>
    <w:p w:rsidR="00AC2005" w:rsidRPr="00147DEF" w:rsidRDefault="00AC2005" w:rsidP="00AC2005">
      <w:pPr>
        <w:jc w:val="center"/>
        <w:rPr>
          <w:b/>
        </w:rPr>
      </w:pPr>
    </w:p>
    <w:p w:rsidR="00AC2005" w:rsidRPr="00147DEF" w:rsidRDefault="00E25382" w:rsidP="00AC2005">
      <w:pPr>
        <w:rPr>
          <w:sz w:val="16"/>
          <w:szCs w:val="16"/>
        </w:rPr>
      </w:pPr>
      <w:r w:rsidRPr="00147DEF">
        <w:rPr>
          <w:sz w:val="16"/>
          <w:szCs w:val="16"/>
        </w:rPr>
        <w:t xml:space="preserve">             </w:t>
      </w:r>
      <w:r w:rsidR="00AC2005" w:rsidRPr="00147DEF">
        <w:rPr>
          <w:sz w:val="16"/>
          <w:szCs w:val="16"/>
        </w:rPr>
        <w:t xml:space="preserve">   / - </w:t>
      </w:r>
      <w:r w:rsidR="002D5D8C" w:rsidRPr="00147DEF">
        <w:rPr>
          <w:sz w:val="16"/>
          <w:szCs w:val="16"/>
        </w:rPr>
        <w:t>small number of the phenomenon</w:t>
      </w:r>
      <w:r w:rsidR="00AC2005" w:rsidRPr="00147DEF">
        <w:rPr>
          <w:sz w:val="16"/>
          <w:szCs w:val="16"/>
        </w:rPr>
        <w:t xml:space="preserve"> – </w:t>
      </w:r>
      <w:r w:rsidR="002D5D8C" w:rsidRPr="00147DEF">
        <w:rPr>
          <w:sz w:val="16"/>
          <w:szCs w:val="16"/>
        </w:rPr>
        <w:t>estimations not performed</w:t>
      </w:r>
      <w:r w:rsidR="00AC2005" w:rsidRPr="00147DEF">
        <w:rPr>
          <w:sz w:val="16"/>
          <w:szCs w:val="16"/>
        </w:rPr>
        <w:t xml:space="preserve"> </w:t>
      </w:r>
    </w:p>
    <w:p w:rsidR="00AC2005" w:rsidRPr="00147DEF" w:rsidRDefault="00AC2005" w:rsidP="00AC2005">
      <w:pPr>
        <w:jc w:val="both"/>
      </w:pPr>
    </w:p>
    <w:p w:rsidR="00AC2005" w:rsidRPr="00147DEF" w:rsidRDefault="001230AF" w:rsidP="006010DA">
      <w:pPr>
        <w:spacing w:before="120" w:after="120"/>
        <w:ind w:firstLine="397"/>
        <w:jc w:val="both"/>
        <w:rPr>
          <w:color w:val="FF0000"/>
        </w:rPr>
      </w:pPr>
      <w:r w:rsidRPr="00147DEF">
        <w:br w:type="page"/>
      </w:r>
      <w:r w:rsidR="00557A39" w:rsidRPr="00147DEF">
        <w:lastRenderedPageBreak/>
        <w:t xml:space="preserve">In education and training, employed persons participated most (32.5% of all employed). Persons who attended a course, workshop or private lessons are mostly with tertiary education and belong to the group of “Managers, professionals, technicians and associate professionals” (Graph 1). </w:t>
      </w:r>
    </w:p>
    <w:p w:rsidR="001102C9" w:rsidRPr="00147DEF" w:rsidRDefault="001102C9" w:rsidP="001230AF">
      <w:pPr>
        <w:spacing w:before="720" w:after="120"/>
        <w:jc w:val="center"/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t>Graph 1. Employed persons in formal or non-formal education and training, by occupation (%)</w:t>
      </w:r>
    </w:p>
    <w:p w:rsidR="00AC2005" w:rsidRPr="00147DEF" w:rsidRDefault="00D2544F" w:rsidP="00AC2005">
      <w:pPr>
        <w:jc w:val="center"/>
      </w:pPr>
      <w:r w:rsidRPr="00147DEF">
        <w:rPr>
          <w:noProof/>
          <w:lang w:val="en-US"/>
        </w:rPr>
        <w:drawing>
          <wp:inline distT="0" distB="0" distL="0" distR="0" wp14:anchorId="4C5C1BC6" wp14:editId="660BC46B">
            <wp:extent cx="5940000" cy="2743200"/>
            <wp:effectExtent l="0" t="0" r="381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2005" w:rsidRPr="006010DA" w:rsidRDefault="00557A39" w:rsidP="006010DA">
      <w:pPr>
        <w:spacing w:before="480" w:after="120"/>
        <w:ind w:firstLine="397"/>
        <w:jc w:val="both"/>
      </w:pPr>
      <w:r w:rsidRPr="00147DEF">
        <w:t xml:space="preserve">Among all respondents who participated in education/ training, the greatest number attended some sort of </w:t>
      </w:r>
      <w:r w:rsidR="00BA5449" w:rsidRPr="00147DEF">
        <w:t>no</w:t>
      </w:r>
      <w:r w:rsidRPr="00147DEF">
        <w:t>n</w:t>
      </w:r>
      <w:r w:rsidR="00BA5449" w:rsidRPr="00147DEF">
        <w:t xml:space="preserve"> - </w:t>
      </w:r>
      <w:r w:rsidRPr="00147DEF">
        <w:t xml:space="preserve">formal education, they are mostly with tertiary education and belong to the age group 25-34. </w:t>
      </w:r>
    </w:p>
    <w:p w:rsidR="00AC2005" w:rsidRPr="00147DEF" w:rsidRDefault="00AC2005" w:rsidP="006010DA">
      <w:pPr>
        <w:spacing w:before="840" w:after="60"/>
        <w:jc w:val="center"/>
        <w:rPr>
          <w:b/>
          <w:color w:val="FF0000"/>
        </w:rPr>
      </w:pPr>
      <w:r w:rsidRPr="00147DEF">
        <w:rPr>
          <w:b/>
        </w:rPr>
        <w:t xml:space="preserve">2. </w:t>
      </w:r>
      <w:r w:rsidR="00BA5449" w:rsidRPr="00147DEF">
        <w:rPr>
          <w:b/>
        </w:rPr>
        <w:t>Share of adults in no</w:t>
      </w:r>
      <w:r w:rsidR="00557A39" w:rsidRPr="00147DEF">
        <w:rPr>
          <w:b/>
        </w:rPr>
        <w:t>n</w:t>
      </w:r>
      <w:r w:rsidR="00BA5449" w:rsidRPr="00147DEF">
        <w:rPr>
          <w:b/>
        </w:rPr>
        <w:t xml:space="preserve"> - </w:t>
      </w:r>
      <w:r w:rsidR="00557A39" w:rsidRPr="00147DEF">
        <w:rPr>
          <w:b/>
        </w:rPr>
        <w:t>formal education and training (</w:t>
      </w:r>
      <w:proofErr w:type="gramStart"/>
      <w:r w:rsidR="00557A39" w:rsidRPr="00147DEF">
        <w:rPr>
          <w:b/>
        </w:rPr>
        <w:t>%</w:t>
      </w:r>
      <w:proofErr w:type="gramEnd"/>
      <w:r w:rsidR="00557A39" w:rsidRPr="00147DEF">
        <w:rPr>
          <w:b/>
        </w:rPr>
        <w:t xml:space="preserve">)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418"/>
        <w:gridCol w:w="1418"/>
        <w:gridCol w:w="1418"/>
      </w:tblGrid>
      <w:tr w:rsidR="00557A39" w:rsidRPr="00147DEF" w:rsidTr="0024382A">
        <w:trPr>
          <w:jc w:val="center"/>
        </w:trPr>
        <w:tc>
          <w:tcPr>
            <w:tcW w:w="453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:rsidR="00557A39" w:rsidRPr="00147DEF" w:rsidRDefault="00557A39" w:rsidP="00381248">
            <w:pPr>
              <w:spacing w:before="24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557A39" w:rsidRPr="00147DEF" w:rsidRDefault="00557A39" w:rsidP="007C5802">
            <w:pPr>
              <w:spacing w:before="240" w:after="2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557A39" w:rsidRPr="00147DEF" w:rsidRDefault="00557A39" w:rsidP="007C5802">
            <w:pPr>
              <w:spacing w:before="240" w:after="2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Males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557A39" w:rsidRPr="00147DEF" w:rsidRDefault="00557A39" w:rsidP="007C5802">
            <w:pPr>
              <w:spacing w:before="240" w:after="2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Females</w:t>
            </w:r>
          </w:p>
        </w:tc>
      </w:tr>
      <w:tr w:rsidR="0024382A" w:rsidRPr="00147DEF" w:rsidTr="00381248">
        <w:trPr>
          <w:jc w:val="center"/>
        </w:trPr>
        <w:tc>
          <w:tcPr>
            <w:tcW w:w="2268" w:type="dxa"/>
            <w:tcBorders>
              <w:top w:val="single" w:sz="4" w:space="0" w:color="808080" w:themeColor="background1" w:themeShade="80"/>
            </w:tcBorders>
          </w:tcPr>
          <w:p w:rsidR="0024382A" w:rsidRPr="00147DEF" w:rsidRDefault="0024382A" w:rsidP="003812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4382A" w:rsidRPr="00147DEF" w:rsidRDefault="0024382A" w:rsidP="0038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bottom"/>
          </w:tcPr>
          <w:p w:rsidR="0024382A" w:rsidRPr="00147DEF" w:rsidRDefault="0024382A" w:rsidP="00381248">
            <w:pPr>
              <w:ind w:right="284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:rsidR="0024382A" w:rsidRPr="00147DEF" w:rsidRDefault="0024382A" w:rsidP="00381248">
            <w:pPr>
              <w:ind w:right="284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:rsidR="0024382A" w:rsidRPr="00147DEF" w:rsidRDefault="0024382A" w:rsidP="00381248">
            <w:pPr>
              <w:ind w:right="284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557A39" w:rsidRPr="00147DEF" w:rsidTr="0024382A">
        <w:trPr>
          <w:jc w:val="center"/>
        </w:trPr>
        <w:tc>
          <w:tcPr>
            <w:tcW w:w="2268" w:type="dxa"/>
            <w:shd w:val="clear" w:color="auto" w:fill="F2F2F2"/>
          </w:tcPr>
          <w:p w:rsidR="00557A39" w:rsidRPr="00147DEF" w:rsidRDefault="00557A39" w:rsidP="007C5802">
            <w:pPr>
              <w:rPr>
                <w:b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:rsidR="00557A39" w:rsidRPr="00147DEF" w:rsidRDefault="00557A39" w:rsidP="0024382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sz w:val="18"/>
                <w:szCs w:val="18"/>
              </w:rPr>
              <w:t>18</w:t>
            </w:r>
            <w:r w:rsidR="006E6BA4"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sz w:val="18"/>
                <w:szCs w:val="18"/>
              </w:rPr>
              <w:t>17</w:t>
            </w:r>
            <w:r w:rsidR="006E6BA4"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47DEF">
              <w:rPr>
                <w:rFonts w:cs="Arial"/>
                <w:b/>
                <w:bCs/>
                <w:sz w:val="18"/>
                <w:szCs w:val="18"/>
              </w:rPr>
              <w:t>19</w:t>
            </w:r>
            <w:r w:rsidR="006E6BA4"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</w:tr>
      <w:tr w:rsidR="00557A39" w:rsidRPr="00147DEF" w:rsidTr="0024382A">
        <w:trPr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57A39" w:rsidRPr="00147DEF" w:rsidRDefault="00557A39" w:rsidP="007C5802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Age groups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jc w:val="both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25-34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23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22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25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4</w:t>
            </w:r>
          </w:p>
        </w:tc>
      </w:tr>
      <w:tr w:rsidR="0024382A" w:rsidRPr="00147DEF" w:rsidTr="0024382A">
        <w:trPr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jc w:val="both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35-49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22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21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24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4</w:t>
            </w:r>
          </w:p>
        </w:tc>
      </w:tr>
      <w:tr w:rsidR="0024382A" w:rsidRPr="00147DEF" w:rsidTr="0024382A">
        <w:trPr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jc w:val="both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50-64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10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9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2A" w:rsidRPr="00147DEF" w:rsidRDefault="0024382A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11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3</w:t>
            </w:r>
          </w:p>
        </w:tc>
      </w:tr>
      <w:tr w:rsidR="00557A39" w:rsidRPr="00147DEF" w:rsidTr="002D29F2">
        <w:trPr>
          <w:jc w:val="center"/>
        </w:trPr>
        <w:tc>
          <w:tcPr>
            <w:tcW w:w="2268" w:type="dxa"/>
            <w:vMerge w:val="restart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jc w:val="both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Education level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557A39" w:rsidRPr="00147DEF" w:rsidRDefault="00557A39" w:rsidP="007C5802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Primary education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/</w:t>
            </w:r>
          </w:p>
        </w:tc>
      </w:tr>
      <w:tr w:rsidR="00557A39" w:rsidRPr="00147DEF" w:rsidTr="002D29F2">
        <w:trPr>
          <w:jc w:val="center"/>
        </w:trPr>
        <w:tc>
          <w:tcPr>
            <w:tcW w:w="2268" w:type="dxa"/>
            <w:vMerge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557A39" w:rsidRPr="00147DEF" w:rsidRDefault="00557A39" w:rsidP="007C5802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Secondary education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12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12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12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6</w:t>
            </w:r>
          </w:p>
        </w:tc>
      </w:tr>
      <w:tr w:rsidR="00557A39" w:rsidRPr="00147DEF" w:rsidTr="002D29F2">
        <w:trPr>
          <w:jc w:val="center"/>
        </w:trPr>
        <w:tc>
          <w:tcPr>
            <w:tcW w:w="2268" w:type="dxa"/>
            <w:vMerge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F2F2F2"/>
            <w:vAlign w:val="bottom"/>
          </w:tcPr>
          <w:p w:rsidR="00557A39" w:rsidRPr="00147DEF" w:rsidRDefault="00557A39" w:rsidP="007C5802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Tertiary education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37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33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40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6</w:t>
            </w:r>
          </w:p>
        </w:tc>
      </w:tr>
      <w:tr w:rsidR="00557A39" w:rsidRPr="00147DEF" w:rsidTr="0038579D">
        <w:trPr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jc w:val="both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Employment status</w:t>
            </w: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57A39" w:rsidRPr="00147DEF" w:rsidRDefault="00557A39" w:rsidP="007C5802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Employed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31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26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37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5</w:t>
            </w:r>
          </w:p>
        </w:tc>
      </w:tr>
      <w:tr w:rsidR="00557A39" w:rsidRPr="00147DEF" w:rsidTr="0038579D">
        <w:trPr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57A39" w:rsidRPr="00147DEF" w:rsidRDefault="00557A39" w:rsidP="007C5802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Unemployed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9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9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557A39" w:rsidRPr="00147DEF" w:rsidTr="0038579D">
        <w:trPr>
          <w:jc w:val="center"/>
        </w:trPr>
        <w:tc>
          <w:tcPr>
            <w:tcW w:w="2268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57A39" w:rsidRPr="00147DEF" w:rsidRDefault="00557A39" w:rsidP="007C5802">
            <w:pPr>
              <w:spacing w:before="40" w:after="4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47DEF">
              <w:rPr>
                <w:rFonts w:cs="Arial"/>
                <w:bCs/>
                <w:color w:val="000000"/>
                <w:sz w:val="18"/>
                <w:szCs w:val="18"/>
              </w:rPr>
              <w:t>Inactive</w:t>
            </w:r>
          </w:p>
        </w:tc>
        <w:tc>
          <w:tcPr>
            <w:tcW w:w="141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6</w:t>
            </w:r>
            <w:r w:rsidR="006E6BA4">
              <w:rPr>
                <w:rFonts w:cs="Arial"/>
                <w:bCs/>
                <w:sz w:val="18"/>
                <w:szCs w:val="18"/>
              </w:rPr>
              <w:t>.</w:t>
            </w:r>
            <w:r w:rsidRPr="00147DE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7A39" w:rsidRPr="00147DEF" w:rsidRDefault="00557A39" w:rsidP="0024382A">
            <w:pPr>
              <w:spacing w:before="40" w:after="40"/>
              <w:ind w:right="284"/>
              <w:jc w:val="right"/>
              <w:rPr>
                <w:rFonts w:cs="Arial"/>
                <w:bCs/>
                <w:sz w:val="18"/>
                <w:szCs w:val="18"/>
              </w:rPr>
            </w:pPr>
            <w:r w:rsidRPr="00147DEF">
              <w:rPr>
                <w:rFonts w:cs="Arial"/>
                <w:bCs/>
                <w:sz w:val="18"/>
                <w:szCs w:val="18"/>
              </w:rPr>
              <w:t>/</w:t>
            </w:r>
          </w:p>
        </w:tc>
      </w:tr>
    </w:tbl>
    <w:p w:rsidR="0024382A" w:rsidRPr="00147DEF" w:rsidRDefault="0024382A" w:rsidP="0024382A">
      <w:pPr>
        <w:jc w:val="center"/>
        <w:rPr>
          <w:b/>
        </w:rPr>
      </w:pPr>
    </w:p>
    <w:p w:rsidR="0024382A" w:rsidRPr="00147DEF" w:rsidRDefault="0024382A" w:rsidP="0024382A">
      <w:pPr>
        <w:rPr>
          <w:sz w:val="16"/>
          <w:szCs w:val="16"/>
        </w:rPr>
      </w:pPr>
      <w:r w:rsidRPr="00147DEF">
        <w:rPr>
          <w:sz w:val="16"/>
          <w:szCs w:val="16"/>
        </w:rPr>
        <w:t xml:space="preserve">                / - </w:t>
      </w:r>
      <w:r w:rsidR="00557A39" w:rsidRPr="00147DEF">
        <w:rPr>
          <w:sz w:val="16"/>
          <w:szCs w:val="16"/>
        </w:rPr>
        <w:t>small number of the phenomenon – estimations not performed</w:t>
      </w:r>
    </w:p>
    <w:p w:rsidR="00A939A3" w:rsidRPr="00147DEF" w:rsidRDefault="00A939A3" w:rsidP="00A939A3">
      <w:pPr>
        <w:autoSpaceDE w:val="0"/>
        <w:autoSpaceDN w:val="0"/>
        <w:adjustRightInd w:val="0"/>
      </w:pPr>
    </w:p>
    <w:p w:rsidR="00A939A3" w:rsidRPr="00147DEF" w:rsidRDefault="00557A39" w:rsidP="006010DA">
      <w:pPr>
        <w:autoSpaceDE w:val="0"/>
        <w:autoSpaceDN w:val="0"/>
        <w:adjustRightInd w:val="0"/>
        <w:spacing w:before="480" w:after="120"/>
        <w:ind w:firstLine="397"/>
        <w:jc w:val="both"/>
        <w:rPr>
          <w:color w:val="FF0000"/>
        </w:rPr>
      </w:pPr>
      <w:r w:rsidRPr="00147DEF">
        <w:t xml:space="preserve">The greatest number of </w:t>
      </w:r>
      <w:r w:rsidR="00BA5449" w:rsidRPr="00147DEF">
        <w:t>no</w:t>
      </w:r>
      <w:r w:rsidRPr="00147DEF">
        <w:t>n</w:t>
      </w:r>
      <w:r w:rsidR="00BA5449" w:rsidRPr="00147DEF">
        <w:t xml:space="preserve"> - </w:t>
      </w:r>
      <w:r w:rsidRPr="00147DEF">
        <w:t>formal education</w:t>
      </w:r>
      <w:r w:rsidR="00766E3A" w:rsidRPr="00147DEF">
        <w:t>al</w:t>
      </w:r>
      <w:r w:rsidRPr="00147DEF">
        <w:t xml:space="preserve"> program</w:t>
      </w:r>
      <w:r w:rsidR="00766E3A" w:rsidRPr="00147DEF">
        <w:t>s</w:t>
      </w:r>
      <w:r w:rsidRPr="00147DEF">
        <w:t xml:space="preserve"> in which the adults participate</w:t>
      </w:r>
      <w:r w:rsidR="00766E3A" w:rsidRPr="00147DEF">
        <w:t>d</w:t>
      </w:r>
      <w:r w:rsidRPr="00147DEF">
        <w:t xml:space="preserve"> </w:t>
      </w:r>
      <w:r w:rsidR="00147DEF" w:rsidRPr="00147DEF">
        <w:t>was</w:t>
      </w:r>
      <w:r w:rsidRPr="00147DEF">
        <w:t xml:space="preserve"> job</w:t>
      </w:r>
      <w:r w:rsidR="00766E3A" w:rsidRPr="00147DEF">
        <w:t xml:space="preserve"> - related</w:t>
      </w:r>
      <w:r w:rsidRPr="00147DEF">
        <w:t xml:space="preserve"> (employment possibilities, </w:t>
      </w:r>
      <w:r w:rsidR="00766E3A" w:rsidRPr="00147DEF">
        <w:t>career promotion</w:t>
      </w:r>
      <w:r w:rsidRPr="00147DEF">
        <w:t xml:space="preserve">, </w:t>
      </w:r>
      <w:r w:rsidR="00A939A3" w:rsidRPr="00147DEF">
        <w:t>saving the existing</w:t>
      </w:r>
      <w:r w:rsidRPr="00147DEF">
        <w:t xml:space="preserve"> or ge</w:t>
      </w:r>
      <w:r w:rsidR="004F2649" w:rsidRPr="00147DEF">
        <w:t>t</w:t>
      </w:r>
      <w:r w:rsidRPr="00147DEF">
        <w:t>t</w:t>
      </w:r>
      <w:r w:rsidR="004F2649" w:rsidRPr="00147DEF">
        <w:t>ing</w:t>
      </w:r>
      <w:r w:rsidRPr="00147DEF">
        <w:t xml:space="preserve"> a new job…). </w:t>
      </w:r>
    </w:p>
    <w:p w:rsidR="00AC2005" w:rsidRPr="00147DEF" w:rsidRDefault="00557A39" w:rsidP="006010DA">
      <w:pPr>
        <w:spacing w:before="120" w:after="120"/>
        <w:ind w:firstLine="397"/>
        <w:jc w:val="both"/>
        <w:rPr>
          <w:color w:val="FF0000"/>
        </w:rPr>
      </w:pPr>
      <w:r w:rsidRPr="00147DEF">
        <w:t>On average, adults participated in</w:t>
      </w:r>
      <w:r w:rsidR="00BA5449" w:rsidRPr="00147DEF">
        <w:t xml:space="preserve"> 1.8 activities of no</w:t>
      </w:r>
      <w:r w:rsidRPr="00147DEF">
        <w:t>n</w:t>
      </w:r>
      <w:r w:rsidR="00BA5449" w:rsidRPr="00147DEF">
        <w:t xml:space="preserve"> - </w:t>
      </w:r>
      <w:r w:rsidRPr="00147DEF">
        <w:t>formal education</w:t>
      </w:r>
      <w:r w:rsidR="005C071D" w:rsidRPr="00147DEF">
        <w:t>, mostly relating to work</w:t>
      </w:r>
      <w:r w:rsidR="00A939A3" w:rsidRPr="00147DEF">
        <w:t>shops</w:t>
      </w:r>
      <w:r w:rsidR="005C071D" w:rsidRPr="00147DEF">
        <w:t xml:space="preserve">, </w:t>
      </w:r>
      <w:r w:rsidR="00A939A3" w:rsidRPr="00147DEF">
        <w:t xml:space="preserve">which </w:t>
      </w:r>
      <w:r w:rsidR="005C071D" w:rsidRPr="00147DEF">
        <w:t>tak</w:t>
      </w:r>
      <w:r w:rsidR="00A939A3" w:rsidRPr="00147DEF">
        <w:t>e</w:t>
      </w:r>
      <w:r w:rsidR="005C071D" w:rsidRPr="00147DEF">
        <w:t xml:space="preserve"> place during work</w:t>
      </w:r>
      <w:r w:rsidR="00A939A3" w:rsidRPr="00147DEF">
        <w:t>ing</w:t>
      </w:r>
      <w:r w:rsidR="005C071D" w:rsidRPr="00147DEF">
        <w:t xml:space="preserve"> hours and </w:t>
      </w:r>
      <w:proofErr w:type="gramStart"/>
      <w:r w:rsidR="00A939A3" w:rsidRPr="00147DEF">
        <w:t xml:space="preserve">are </w:t>
      </w:r>
      <w:r w:rsidR="005C071D" w:rsidRPr="00147DEF">
        <w:t>paid</w:t>
      </w:r>
      <w:proofErr w:type="gramEnd"/>
      <w:r w:rsidR="005C071D" w:rsidRPr="00147DEF">
        <w:t xml:space="preserve"> by the employer. </w:t>
      </w:r>
      <w:r w:rsidRPr="00147DEF">
        <w:t xml:space="preserve"> </w:t>
      </w:r>
      <w:r w:rsidR="00AC2005" w:rsidRPr="00147DEF">
        <w:rPr>
          <w:color w:val="FF0000"/>
        </w:rPr>
        <w:t xml:space="preserve"> </w:t>
      </w:r>
    </w:p>
    <w:p w:rsidR="001102C9" w:rsidRPr="00147DEF" w:rsidRDefault="0024382A" w:rsidP="005A57A4">
      <w:pPr>
        <w:jc w:val="center"/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br w:type="page"/>
      </w:r>
    </w:p>
    <w:p w:rsidR="001102C9" w:rsidRPr="00147DEF" w:rsidRDefault="001102C9" w:rsidP="005A57A4">
      <w:pPr>
        <w:jc w:val="center"/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lastRenderedPageBreak/>
        <w:t xml:space="preserve">Graph 2. Activity type of non-formal </w:t>
      </w:r>
      <w:proofErr w:type="gramStart"/>
      <w:r w:rsidRPr="00147DEF">
        <w:rPr>
          <w:b/>
          <w:sz w:val="18"/>
          <w:szCs w:val="18"/>
        </w:rPr>
        <w:t>education which</w:t>
      </w:r>
      <w:proofErr w:type="gramEnd"/>
      <w:r w:rsidRPr="00147DEF">
        <w:rPr>
          <w:b/>
          <w:sz w:val="18"/>
          <w:szCs w:val="18"/>
        </w:rPr>
        <w:t xml:space="preserve"> is job-related (%)</w:t>
      </w:r>
    </w:p>
    <w:p w:rsidR="00CE74AB" w:rsidRPr="00147DEF" w:rsidRDefault="00CE74AB" w:rsidP="005A57A4">
      <w:pPr>
        <w:jc w:val="center"/>
        <w:rPr>
          <w:b/>
          <w:sz w:val="18"/>
          <w:szCs w:val="18"/>
        </w:rPr>
      </w:pPr>
    </w:p>
    <w:p w:rsidR="00AC2005" w:rsidRPr="00147DEF" w:rsidRDefault="00D2544F" w:rsidP="005A57A4">
      <w:pPr>
        <w:jc w:val="center"/>
      </w:pPr>
      <w:r w:rsidRPr="00147DEF">
        <w:rPr>
          <w:noProof/>
          <w:lang w:val="en-US"/>
        </w:rPr>
        <w:drawing>
          <wp:inline distT="0" distB="0" distL="0" distR="0" wp14:anchorId="6D13343B" wp14:editId="4C50FB27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2005" w:rsidRPr="00147DEF" w:rsidRDefault="00DA7C86" w:rsidP="006010DA">
      <w:pPr>
        <w:spacing w:before="480"/>
        <w:ind w:firstLine="397"/>
        <w:jc w:val="both"/>
        <w:rPr>
          <w:color w:val="FF0000"/>
        </w:rPr>
      </w:pPr>
      <w:r w:rsidRPr="00147DEF">
        <w:t>Almost 80% of the respondents did not partic</w:t>
      </w:r>
      <w:r w:rsidR="00BA5449" w:rsidRPr="00147DEF">
        <w:t>ipate in any form of formal or no</w:t>
      </w:r>
      <w:r w:rsidRPr="00147DEF">
        <w:t>n</w:t>
      </w:r>
      <w:r w:rsidR="00BA5449" w:rsidRPr="00147DEF">
        <w:t xml:space="preserve"> - </w:t>
      </w:r>
      <w:r w:rsidRPr="00147DEF">
        <w:t xml:space="preserve">formal education. Almost a half of the respondents (47%) </w:t>
      </w:r>
      <w:r w:rsidR="00077A3B" w:rsidRPr="00147DEF">
        <w:t xml:space="preserve">wanted to participate but </w:t>
      </w:r>
      <w:proofErr w:type="gramStart"/>
      <w:r w:rsidR="00077A3B" w:rsidRPr="00147DEF">
        <w:t>was</w:t>
      </w:r>
      <w:r w:rsidRPr="00147DEF">
        <w:t xml:space="preserve"> prevented</w:t>
      </w:r>
      <w:proofErr w:type="gramEnd"/>
      <w:r w:rsidRPr="00147DEF">
        <w:t xml:space="preserve"> due to costs of education/ training, family reasons, schedule of training, i.e. overlapping with working hours and </w:t>
      </w:r>
      <w:r w:rsidR="00173ED7" w:rsidRPr="00147DEF">
        <w:t xml:space="preserve">unsuitable </w:t>
      </w:r>
      <w:r w:rsidRPr="00147DEF">
        <w:t xml:space="preserve">training offer (Graph 3). </w:t>
      </w:r>
    </w:p>
    <w:p w:rsidR="001102C9" w:rsidRPr="00147DEF" w:rsidRDefault="001102C9" w:rsidP="006010DA">
      <w:pPr>
        <w:spacing w:before="840"/>
        <w:jc w:val="center"/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t>Graph 3. Reasons for not participating in formal or non-formal education/training (</w:t>
      </w:r>
      <w:proofErr w:type="gramStart"/>
      <w:r w:rsidRPr="00147DEF">
        <w:rPr>
          <w:b/>
          <w:sz w:val="18"/>
          <w:szCs w:val="18"/>
        </w:rPr>
        <w:t>%</w:t>
      </w:r>
      <w:proofErr w:type="gramEnd"/>
      <w:r w:rsidRPr="00147DEF">
        <w:rPr>
          <w:b/>
          <w:sz w:val="18"/>
          <w:szCs w:val="18"/>
        </w:rPr>
        <w:t>)</w:t>
      </w:r>
    </w:p>
    <w:p w:rsidR="00CE74AB" w:rsidRPr="00147DEF" w:rsidRDefault="00CE74AB" w:rsidP="000236EB">
      <w:pPr>
        <w:jc w:val="center"/>
        <w:rPr>
          <w:b/>
          <w:sz w:val="18"/>
          <w:szCs w:val="18"/>
        </w:rPr>
      </w:pPr>
    </w:p>
    <w:p w:rsidR="00AC2005" w:rsidRPr="00147DEF" w:rsidRDefault="00D2544F" w:rsidP="00AC2005">
      <w:pPr>
        <w:jc w:val="center"/>
      </w:pPr>
      <w:r w:rsidRPr="00147DEF">
        <w:rPr>
          <w:noProof/>
          <w:lang w:val="en-US"/>
        </w:rPr>
        <w:drawing>
          <wp:inline distT="0" distB="0" distL="0" distR="0" wp14:anchorId="0B822423" wp14:editId="259A11B1">
            <wp:extent cx="5940000" cy="2743200"/>
            <wp:effectExtent l="0" t="0" r="381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2005" w:rsidRPr="00147DEF" w:rsidRDefault="00DA7C86" w:rsidP="006010DA">
      <w:pPr>
        <w:spacing w:before="480"/>
        <w:ind w:firstLine="397"/>
        <w:jc w:val="both"/>
        <w:rPr>
          <w:color w:val="FF0000"/>
        </w:rPr>
      </w:pPr>
      <w:r w:rsidRPr="00147DEF">
        <w:t>Majority of the respondent</w:t>
      </w:r>
      <w:r w:rsidR="00BA5449" w:rsidRPr="00147DEF">
        <w:t>s participates in some sort of in</w:t>
      </w:r>
      <w:r w:rsidRPr="00147DEF">
        <w:t xml:space="preserve">formal learning. About two thirds acquire new knowledge by using the computer (65.8%). About 63.6% learn from family members, friends or colleagues, and about 60% learn </w:t>
      </w:r>
      <w:r w:rsidR="00A939A3" w:rsidRPr="00147DEF">
        <w:t>through</w:t>
      </w:r>
      <w:r w:rsidRPr="00147DEF">
        <w:t xml:space="preserve"> TV/ radio, video.</w:t>
      </w:r>
      <w:r w:rsidR="00BA5449" w:rsidRPr="00147DEF">
        <w:t xml:space="preserve"> </w:t>
      </w:r>
      <w:r w:rsidRPr="00147DEF">
        <w:t xml:space="preserve">57.5% of the respondents learn from printed materials (books, professional magazines…) and the smallest number learns by visiting museums, libraries, learning </w:t>
      </w:r>
      <w:r w:rsidR="00147DEF" w:rsidRPr="00147DEF">
        <w:t>centres</w:t>
      </w:r>
      <w:r w:rsidRPr="00147DEF">
        <w:t>, etc. (Graph</w:t>
      </w:r>
      <w:r w:rsidR="00A939A3" w:rsidRPr="00147DEF">
        <w:t xml:space="preserve"> 4</w:t>
      </w:r>
      <w:r w:rsidRPr="00147DEF">
        <w:t xml:space="preserve">).      </w:t>
      </w:r>
      <w:r w:rsidR="00AC2005" w:rsidRPr="00147DEF">
        <w:rPr>
          <w:color w:val="FF0000"/>
        </w:rPr>
        <w:t xml:space="preserve"> </w:t>
      </w:r>
    </w:p>
    <w:p w:rsidR="00AC2005" w:rsidRPr="00147DEF" w:rsidRDefault="00AC2005" w:rsidP="000143E0">
      <w:pPr>
        <w:spacing w:before="240"/>
        <w:ind w:firstLine="397"/>
        <w:jc w:val="both"/>
      </w:pPr>
    </w:p>
    <w:p w:rsidR="0024382A" w:rsidRPr="00147DEF" w:rsidRDefault="0024382A">
      <w:r w:rsidRPr="00147DEF">
        <w:br w:type="page"/>
      </w:r>
    </w:p>
    <w:p w:rsidR="001102C9" w:rsidRPr="00147DEF" w:rsidRDefault="001102C9" w:rsidP="0024382A">
      <w:pPr>
        <w:jc w:val="center"/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lastRenderedPageBreak/>
        <w:t>Graph 4. Methods of informal learning (</w:t>
      </w:r>
      <w:proofErr w:type="gramStart"/>
      <w:r w:rsidRPr="00147DEF">
        <w:rPr>
          <w:b/>
          <w:sz w:val="18"/>
          <w:szCs w:val="18"/>
        </w:rPr>
        <w:t>%</w:t>
      </w:r>
      <w:proofErr w:type="gramEnd"/>
      <w:r w:rsidRPr="00147DEF">
        <w:rPr>
          <w:b/>
          <w:sz w:val="18"/>
          <w:szCs w:val="18"/>
        </w:rPr>
        <w:t>)</w:t>
      </w:r>
    </w:p>
    <w:p w:rsidR="00CE74AB" w:rsidRPr="00147DEF" w:rsidRDefault="00CE74AB" w:rsidP="0024382A">
      <w:pPr>
        <w:jc w:val="center"/>
        <w:rPr>
          <w:b/>
          <w:sz w:val="18"/>
          <w:szCs w:val="18"/>
        </w:rPr>
      </w:pPr>
    </w:p>
    <w:p w:rsidR="00AC2005" w:rsidRPr="00147DEF" w:rsidRDefault="00D2544F" w:rsidP="0022773A">
      <w:pPr>
        <w:jc w:val="center"/>
      </w:pPr>
      <w:r w:rsidRPr="00147DEF">
        <w:rPr>
          <w:noProof/>
          <w:lang w:val="en-US"/>
        </w:rPr>
        <w:drawing>
          <wp:inline distT="0" distB="0" distL="0" distR="0" wp14:anchorId="4215F3F5" wp14:editId="6983A758">
            <wp:extent cx="5940000" cy="2743200"/>
            <wp:effectExtent l="0" t="0" r="381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2005" w:rsidRPr="00147DEF" w:rsidRDefault="00CF218C" w:rsidP="006010DA">
      <w:pPr>
        <w:spacing w:before="480"/>
        <w:ind w:firstLine="397"/>
        <w:jc w:val="both"/>
        <w:rPr>
          <w:color w:val="FF0000"/>
        </w:rPr>
      </w:pPr>
      <w:r w:rsidRPr="00147DEF">
        <w:t>Lifelong learning in the Republic of Serbia</w:t>
      </w:r>
      <w:r w:rsidR="00171DB3" w:rsidRPr="00147DEF">
        <w:t xml:space="preserve"> is</w:t>
      </w:r>
      <w:r w:rsidRPr="00147DEF">
        <w:t>, even though recording the increase relative to the previous survey</w:t>
      </w:r>
      <w:r w:rsidR="00171DB3" w:rsidRPr="00147DEF">
        <w:t xml:space="preserve"> (AES 2011), still far beyond the EU average</w:t>
      </w:r>
      <w:r w:rsidR="00FC6E9D" w:rsidRPr="00147DEF">
        <w:t xml:space="preserve"> (45.1%).</w:t>
      </w:r>
      <w:r w:rsidR="00171DB3" w:rsidRPr="00147DEF">
        <w:t xml:space="preserve"> Among the EU members, lower rate in lifelong learning </w:t>
      </w:r>
      <w:proofErr w:type="gramStart"/>
      <w:r w:rsidR="00171DB3" w:rsidRPr="00147DEF">
        <w:t>was recorded</w:t>
      </w:r>
      <w:proofErr w:type="gramEnd"/>
      <w:r w:rsidR="00171DB3" w:rsidRPr="00147DEF">
        <w:t xml:space="preserve"> only in Greece and Romania. However, in comparison with the surrounding countries, among the countries that conducted the survey, (Bosnia and Herzegovina, Albania, </w:t>
      </w:r>
      <w:r w:rsidR="00147DEF" w:rsidRPr="00147DEF">
        <w:t>and FYR</w:t>
      </w:r>
      <w:r w:rsidR="00171DB3" w:rsidRPr="00147DEF">
        <w:t xml:space="preserve"> Macedonia), participation of adults in </w:t>
      </w:r>
      <w:r w:rsidR="00FC6E9D" w:rsidRPr="00147DEF">
        <w:t xml:space="preserve">Serbia in lifelong learning </w:t>
      </w:r>
      <w:r w:rsidR="00171DB3" w:rsidRPr="00147DEF">
        <w:t xml:space="preserve">recorded higher rates (Graph 5).  </w:t>
      </w:r>
    </w:p>
    <w:p w:rsidR="001102C9" w:rsidRPr="00147DEF" w:rsidRDefault="001102C9" w:rsidP="006010DA">
      <w:pPr>
        <w:spacing w:before="840"/>
        <w:jc w:val="center"/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t>Graph 5. Participation rate of adults in lifelong learning, by countries</w:t>
      </w:r>
    </w:p>
    <w:p w:rsidR="0090049D" w:rsidRPr="00147DEF" w:rsidRDefault="00D2544F" w:rsidP="0090049D">
      <w:pPr>
        <w:spacing w:before="120"/>
        <w:jc w:val="center"/>
        <w:rPr>
          <w:b/>
          <w:sz w:val="18"/>
          <w:szCs w:val="18"/>
        </w:rPr>
      </w:pPr>
      <w:r w:rsidRPr="00147DEF">
        <w:rPr>
          <w:noProof/>
          <w:lang w:val="en-US"/>
        </w:rPr>
        <w:drawing>
          <wp:inline distT="0" distB="0" distL="0" distR="0" wp14:anchorId="17E884F0" wp14:editId="7145DB56">
            <wp:extent cx="5940000" cy="2988000"/>
            <wp:effectExtent l="0" t="0" r="3810" b="317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2005" w:rsidRPr="00147DEF" w:rsidRDefault="00171DB3" w:rsidP="006010DA">
      <w:pPr>
        <w:spacing w:before="480" w:after="120"/>
        <w:ind w:firstLine="397"/>
        <w:jc w:val="both"/>
      </w:pPr>
      <w:r w:rsidRPr="00147DEF">
        <w:t xml:space="preserve">Adult education survey is one of a few surveys that </w:t>
      </w:r>
      <w:r w:rsidR="00147DEF" w:rsidRPr="00147DEF">
        <w:t>provide</w:t>
      </w:r>
      <w:r w:rsidRPr="00147DEF">
        <w:t xml:space="preserve"> the data on foreign languages knowledge.</w:t>
      </w:r>
    </w:p>
    <w:p w:rsidR="00AC2005" w:rsidRPr="00147DEF" w:rsidRDefault="00171DB3" w:rsidP="006010DA">
      <w:pPr>
        <w:spacing w:before="240"/>
        <w:ind w:firstLine="397"/>
        <w:jc w:val="both"/>
        <w:rPr>
          <w:color w:val="FF0000"/>
        </w:rPr>
      </w:pPr>
      <w:r w:rsidRPr="00147DEF">
        <w:t xml:space="preserve">According to </w:t>
      </w:r>
      <w:r w:rsidR="00FC6E9D" w:rsidRPr="00147DEF">
        <w:t>self-evaluation</w:t>
      </w:r>
      <w:r w:rsidRPr="00147DEF">
        <w:t xml:space="preserve">, almost 40 % of the respondents aged 25- </w:t>
      </w:r>
      <w:proofErr w:type="gramStart"/>
      <w:r w:rsidRPr="00147DEF">
        <w:t>64 use</w:t>
      </w:r>
      <w:proofErr w:type="gramEnd"/>
      <w:r w:rsidRPr="00147DEF">
        <w:t xml:space="preserve"> one</w:t>
      </w:r>
      <w:r w:rsidR="00FC6E9D" w:rsidRPr="00147DEF">
        <w:t xml:space="preserve"> foreign language, over 20% use</w:t>
      </w:r>
      <w:r w:rsidRPr="00147DEF">
        <w:t xml:space="preserve"> two languages, while three or more language</w:t>
      </w:r>
      <w:r w:rsidR="00FC6E9D" w:rsidRPr="00147DEF">
        <w:t>s</w:t>
      </w:r>
      <w:r w:rsidRPr="00147DEF">
        <w:t xml:space="preserve"> can </w:t>
      </w:r>
      <w:r w:rsidR="00FC6E9D" w:rsidRPr="00147DEF">
        <w:t xml:space="preserve">be </w:t>
      </w:r>
      <w:r w:rsidRPr="00147DEF">
        <w:t>use</w:t>
      </w:r>
      <w:r w:rsidR="00FC6E9D" w:rsidRPr="00147DEF">
        <w:t>d</w:t>
      </w:r>
      <w:r w:rsidRPr="00147DEF">
        <w:t xml:space="preserve"> also </w:t>
      </w:r>
      <w:r w:rsidR="00FC6E9D" w:rsidRPr="00147DEF">
        <w:t xml:space="preserve">by </w:t>
      </w:r>
      <w:r w:rsidRPr="00147DEF">
        <w:t xml:space="preserve">about 20% of the respondents. Majority of the respondents uses English language followed by Croatian, Russian, Bosnian and German (Graph 6).  </w:t>
      </w:r>
    </w:p>
    <w:p w:rsidR="00AC2005" w:rsidRPr="00147DEF" w:rsidRDefault="00AC2005" w:rsidP="00AC2005">
      <w:pPr>
        <w:jc w:val="both"/>
      </w:pPr>
    </w:p>
    <w:p w:rsidR="009C712F" w:rsidRPr="00147DEF" w:rsidRDefault="009C712F">
      <w:pPr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br w:type="page"/>
      </w:r>
    </w:p>
    <w:p w:rsidR="001102C9" w:rsidRPr="00147DEF" w:rsidRDefault="001102C9" w:rsidP="0024382A">
      <w:pPr>
        <w:jc w:val="center"/>
        <w:rPr>
          <w:b/>
          <w:sz w:val="18"/>
          <w:szCs w:val="18"/>
        </w:rPr>
      </w:pPr>
      <w:r w:rsidRPr="00147DEF">
        <w:rPr>
          <w:b/>
          <w:sz w:val="18"/>
          <w:szCs w:val="18"/>
        </w:rPr>
        <w:lastRenderedPageBreak/>
        <w:t>Graph 6. Self-assessment of foreign languages usage</w:t>
      </w:r>
    </w:p>
    <w:p w:rsidR="00AC2005" w:rsidRPr="00147DEF" w:rsidRDefault="00D2544F" w:rsidP="0024382A">
      <w:pPr>
        <w:spacing w:before="240"/>
        <w:ind w:firstLine="397"/>
        <w:jc w:val="center"/>
      </w:pPr>
      <w:r w:rsidRPr="00147DEF">
        <w:rPr>
          <w:noProof/>
          <w:lang w:val="en-US"/>
        </w:rPr>
        <w:drawing>
          <wp:inline distT="0" distB="0" distL="0" distR="0" wp14:anchorId="6F102CCA" wp14:editId="5E92A5E0">
            <wp:extent cx="4572000" cy="27432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2005" w:rsidRPr="00147DEF" w:rsidRDefault="00171DB3" w:rsidP="006010DA">
      <w:pPr>
        <w:spacing w:before="480" w:after="240"/>
        <w:ind w:left="680" w:right="113" w:hanging="567"/>
        <w:jc w:val="both"/>
        <w:rPr>
          <w:color w:val="FF0000"/>
        </w:rPr>
      </w:pPr>
      <w:r w:rsidRPr="00147DEF">
        <w:rPr>
          <w:b/>
        </w:rPr>
        <w:t>Note</w:t>
      </w:r>
      <w:r w:rsidR="00AC2005" w:rsidRPr="00147DEF">
        <w:rPr>
          <w:b/>
        </w:rPr>
        <w:t>:</w:t>
      </w:r>
      <w:r w:rsidR="00AC2005" w:rsidRPr="00147DEF">
        <w:t xml:space="preserve"> </w:t>
      </w:r>
      <w:r w:rsidRPr="00147DEF">
        <w:t xml:space="preserve">According to </w:t>
      </w:r>
      <w:r w:rsidR="00FC6E9D" w:rsidRPr="00147DEF">
        <w:t xml:space="preserve">the </w:t>
      </w:r>
      <w:r w:rsidRPr="00147DEF">
        <w:t xml:space="preserve">official AES methodology, a respondent </w:t>
      </w:r>
      <w:r w:rsidR="00FC6E9D" w:rsidRPr="00147DEF">
        <w:t>evaluat</w:t>
      </w:r>
      <w:r w:rsidRPr="00147DEF">
        <w:t>es own knowledge of foreign languages</w:t>
      </w:r>
      <w:r w:rsidR="00FC6E9D" w:rsidRPr="00147DEF">
        <w:t>;</w:t>
      </w:r>
      <w:r w:rsidRPr="00147DEF">
        <w:t xml:space="preserve"> </w:t>
      </w:r>
      <w:r w:rsidR="00FC6E9D" w:rsidRPr="00147DEF">
        <w:t>foreign languages</w:t>
      </w:r>
      <w:r w:rsidRPr="00147DEF">
        <w:t xml:space="preserve"> also </w:t>
      </w:r>
      <w:r w:rsidR="00FC6E9D" w:rsidRPr="00147DEF">
        <w:t>encompass</w:t>
      </w:r>
      <w:r w:rsidRPr="00147DEF">
        <w:t xml:space="preserve"> the languages of the </w:t>
      </w:r>
      <w:r w:rsidR="005A16B2" w:rsidRPr="00147DEF">
        <w:t xml:space="preserve">former Yugoslavia. </w:t>
      </w:r>
    </w:p>
    <w:p w:rsidR="00AC2005" w:rsidRPr="00147DEF" w:rsidRDefault="002700BC" w:rsidP="0024382A">
      <w:pPr>
        <w:autoSpaceDE w:val="0"/>
        <w:autoSpaceDN w:val="0"/>
        <w:adjustRightInd w:val="0"/>
        <w:spacing w:before="1080" w:after="360"/>
        <w:ind w:firstLine="397"/>
        <w:jc w:val="center"/>
        <w:rPr>
          <w:b/>
          <w:sz w:val="22"/>
          <w:szCs w:val="22"/>
        </w:rPr>
      </w:pPr>
      <w:r w:rsidRPr="00147DEF">
        <w:rPr>
          <w:b/>
          <w:sz w:val="22"/>
          <w:szCs w:val="22"/>
        </w:rPr>
        <w:t>Methodological explanations</w:t>
      </w:r>
      <w:r w:rsidR="00986CDD" w:rsidRPr="00147DEF">
        <w:rPr>
          <w:b/>
          <w:sz w:val="22"/>
          <w:szCs w:val="22"/>
        </w:rPr>
        <w:t xml:space="preserve"> </w:t>
      </w:r>
    </w:p>
    <w:p w:rsidR="00AC2005" w:rsidRPr="00147DEF" w:rsidRDefault="002700BC" w:rsidP="00986CDD">
      <w:pPr>
        <w:spacing w:before="240"/>
        <w:ind w:firstLine="397"/>
        <w:jc w:val="both"/>
        <w:rPr>
          <w:rFonts w:cs="Calibri"/>
          <w:color w:val="FF0000"/>
          <w:szCs w:val="20"/>
        </w:rPr>
      </w:pPr>
      <w:r w:rsidRPr="00147DEF">
        <w:rPr>
          <w:rFonts w:cs="Arial"/>
          <w:b/>
          <w:bCs/>
          <w:szCs w:val="20"/>
        </w:rPr>
        <w:t>Aim</w:t>
      </w:r>
      <w:r w:rsidR="00AC2005" w:rsidRPr="00147DEF">
        <w:rPr>
          <w:rFonts w:cs="Arial"/>
          <w:szCs w:val="20"/>
        </w:rPr>
        <w:t xml:space="preserve"> </w:t>
      </w:r>
      <w:r w:rsidRPr="00147DEF">
        <w:rPr>
          <w:rFonts w:cs="Arial"/>
          <w:szCs w:val="20"/>
        </w:rPr>
        <w:t xml:space="preserve">of the </w:t>
      </w:r>
      <w:r w:rsidR="00147DEF" w:rsidRPr="00147DEF">
        <w:rPr>
          <w:rFonts w:cs="Arial"/>
          <w:szCs w:val="20"/>
        </w:rPr>
        <w:t>Adults</w:t>
      </w:r>
      <w:r w:rsidRPr="00147DEF">
        <w:rPr>
          <w:rFonts w:cs="Arial"/>
          <w:szCs w:val="20"/>
        </w:rPr>
        <w:t xml:space="preserve"> education survey is collecting the data on </w:t>
      </w:r>
      <w:r w:rsidR="00FC6E9D" w:rsidRPr="00147DEF">
        <w:rPr>
          <w:rFonts w:cs="Arial"/>
          <w:szCs w:val="20"/>
        </w:rPr>
        <w:t>participation</w:t>
      </w:r>
      <w:r w:rsidRPr="00147DEF">
        <w:rPr>
          <w:rFonts w:cs="Arial"/>
          <w:szCs w:val="20"/>
        </w:rPr>
        <w:t xml:space="preserve"> of adults (aged 25-64) in education and trainings (formal and </w:t>
      </w:r>
      <w:r w:rsidR="00BA5449" w:rsidRPr="00147DEF">
        <w:rPr>
          <w:rFonts w:cs="Arial"/>
          <w:szCs w:val="20"/>
        </w:rPr>
        <w:t>no</w:t>
      </w:r>
      <w:r w:rsidRPr="00147DEF">
        <w:rPr>
          <w:rFonts w:cs="Arial"/>
          <w:szCs w:val="20"/>
        </w:rPr>
        <w:t>n</w:t>
      </w:r>
      <w:r w:rsidR="00BA5449" w:rsidRPr="00147DEF">
        <w:rPr>
          <w:rFonts w:cs="Arial"/>
          <w:szCs w:val="20"/>
        </w:rPr>
        <w:t xml:space="preserve"> - </w:t>
      </w:r>
      <w:r w:rsidRPr="00147DEF">
        <w:rPr>
          <w:rFonts w:cs="Arial"/>
          <w:szCs w:val="20"/>
        </w:rPr>
        <w:t xml:space="preserve">formal education, as well as informal learning). Conducting of the survey is of particular importance, knowing that it </w:t>
      </w:r>
      <w:proofErr w:type="gramStart"/>
      <w:r w:rsidRPr="00147DEF">
        <w:rPr>
          <w:rFonts w:cs="Arial"/>
          <w:szCs w:val="20"/>
        </w:rPr>
        <w:t>is based</w:t>
      </w:r>
      <w:proofErr w:type="gramEnd"/>
      <w:r w:rsidRPr="00147DEF">
        <w:rPr>
          <w:rFonts w:cs="Arial"/>
          <w:szCs w:val="20"/>
        </w:rPr>
        <w:t xml:space="preserve"> on standardized methodology for all EU member states and </w:t>
      </w:r>
      <w:r w:rsidR="00DB16DA" w:rsidRPr="00147DEF">
        <w:rPr>
          <w:rFonts w:cs="Arial"/>
          <w:szCs w:val="20"/>
        </w:rPr>
        <w:t xml:space="preserve">internationally comparable data are provided. </w:t>
      </w:r>
      <w:r w:rsidRPr="00147DEF">
        <w:rPr>
          <w:rFonts w:cs="Arial"/>
          <w:szCs w:val="20"/>
        </w:rPr>
        <w:t xml:space="preserve"> </w:t>
      </w:r>
      <w:r w:rsidR="00AC2005" w:rsidRPr="00147DEF">
        <w:rPr>
          <w:rFonts w:cs="Calibri"/>
          <w:color w:val="FF0000"/>
          <w:szCs w:val="20"/>
        </w:rPr>
        <w:t xml:space="preserve"> </w:t>
      </w:r>
    </w:p>
    <w:p w:rsidR="00AC2005" w:rsidRPr="00147DEF" w:rsidRDefault="00DB16DA" w:rsidP="00986CDD">
      <w:pPr>
        <w:spacing w:before="240"/>
        <w:ind w:firstLine="397"/>
        <w:jc w:val="both"/>
        <w:rPr>
          <w:color w:val="FF0000"/>
        </w:rPr>
      </w:pPr>
      <w:r w:rsidRPr="00147DEF">
        <w:rPr>
          <w:rFonts w:cs="Calibri"/>
          <w:szCs w:val="20"/>
        </w:rPr>
        <w:t xml:space="preserve">The survey </w:t>
      </w:r>
      <w:proofErr w:type="gramStart"/>
      <w:r w:rsidRPr="00147DEF">
        <w:rPr>
          <w:rFonts w:cs="Calibri"/>
          <w:szCs w:val="20"/>
        </w:rPr>
        <w:t>is conducted</w:t>
      </w:r>
      <w:proofErr w:type="gramEnd"/>
      <w:r w:rsidRPr="00147DEF">
        <w:rPr>
          <w:rFonts w:cs="Calibri"/>
          <w:szCs w:val="20"/>
        </w:rPr>
        <w:t xml:space="preserve"> in five-year periodicity, and observation period are 12 months preceding the survey conducting.</w:t>
      </w:r>
    </w:p>
    <w:p w:rsidR="00AC2005" w:rsidRPr="00147DEF" w:rsidRDefault="00DB16DA" w:rsidP="00DB16DA">
      <w:pPr>
        <w:spacing w:before="240"/>
        <w:ind w:firstLine="397"/>
        <w:jc w:val="both"/>
        <w:rPr>
          <w:rFonts w:cs="Calibri"/>
          <w:color w:val="FF0000"/>
          <w:szCs w:val="20"/>
        </w:rPr>
      </w:pPr>
      <w:r w:rsidRPr="00147DEF">
        <w:rPr>
          <w:rFonts w:cs="Calibri"/>
          <w:szCs w:val="20"/>
        </w:rPr>
        <w:t xml:space="preserve">The survey </w:t>
      </w:r>
      <w:proofErr w:type="gramStart"/>
      <w:r w:rsidRPr="00147DEF">
        <w:rPr>
          <w:rFonts w:cs="Calibri"/>
          <w:szCs w:val="20"/>
        </w:rPr>
        <w:t>was conducted</w:t>
      </w:r>
      <w:proofErr w:type="gramEnd"/>
      <w:r w:rsidRPr="00147DEF">
        <w:rPr>
          <w:rFonts w:cs="Calibri"/>
          <w:szCs w:val="20"/>
        </w:rPr>
        <w:t xml:space="preserve"> in accordance with the Law on Official Statistics (“Official Gazette of RE”, No 104/09) and Regulation of European Commission No 1175/2014 as of October 30, 2014 on creation and development of education statistics and lifelong learning.</w:t>
      </w:r>
      <w:r w:rsidR="00AC2005" w:rsidRPr="00147DEF">
        <w:rPr>
          <w:rFonts w:cs="Calibri"/>
          <w:color w:val="FF0000"/>
          <w:szCs w:val="20"/>
        </w:rPr>
        <w:t xml:space="preserve"> </w:t>
      </w:r>
    </w:p>
    <w:p w:rsidR="00AC2005" w:rsidRPr="00147DEF" w:rsidRDefault="00DB16DA" w:rsidP="00986CDD">
      <w:pPr>
        <w:autoSpaceDE w:val="0"/>
        <w:autoSpaceDN w:val="0"/>
        <w:adjustRightInd w:val="0"/>
        <w:spacing w:before="240"/>
        <w:ind w:firstLine="397"/>
        <w:jc w:val="both"/>
        <w:rPr>
          <w:rFonts w:cs="Calibri"/>
          <w:color w:val="FF0000"/>
          <w:szCs w:val="20"/>
        </w:rPr>
      </w:pPr>
      <w:r w:rsidRPr="00147DEF">
        <w:rPr>
          <w:rFonts w:cs="Calibri"/>
          <w:szCs w:val="20"/>
        </w:rPr>
        <w:t xml:space="preserve">The survey </w:t>
      </w:r>
      <w:proofErr w:type="gramStart"/>
      <w:r w:rsidRPr="00147DEF">
        <w:rPr>
          <w:rFonts w:cs="Calibri"/>
          <w:szCs w:val="20"/>
        </w:rPr>
        <w:t>was conducted</w:t>
      </w:r>
      <w:proofErr w:type="gramEnd"/>
      <w:r w:rsidRPr="00147DEF">
        <w:rPr>
          <w:rFonts w:cs="Calibri"/>
          <w:szCs w:val="20"/>
        </w:rPr>
        <w:t xml:space="preserve"> on the territory of the Republic of Serbia excluding Kosovo and </w:t>
      </w:r>
      <w:proofErr w:type="spellStart"/>
      <w:r w:rsidRPr="00147DEF">
        <w:rPr>
          <w:rFonts w:cs="Calibri"/>
          <w:szCs w:val="20"/>
        </w:rPr>
        <w:t>Metohija</w:t>
      </w:r>
      <w:proofErr w:type="spellEnd"/>
      <w:r w:rsidRPr="00147DEF">
        <w:rPr>
          <w:rFonts w:cs="Calibri"/>
          <w:szCs w:val="20"/>
        </w:rPr>
        <w:t xml:space="preserve">, on the planned sample of 7200 households. Realized sample encompassed 4993 respondents aged 25-64 (a single </w:t>
      </w:r>
      <w:r w:rsidR="00147DEF" w:rsidRPr="00147DEF">
        <w:rPr>
          <w:rFonts w:cs="Calibri"/>
          <w:szCs w:val="20"/>
        </w:rPr>
        <w:t>randomly</w:t>
      </w:r>
      <w:r w:rsidRPr="00147DEF">
        <w:rPr>
          <w:rFonts w:cs="Calibri"/>
          <w:szCs w:val="20"/>
        </w:rPr>
        <w:t xml:space="preserve"> selected respondent in a single household selected in the sample). </w:t>
      </w:r>
    </w:p>
    <w:p w:rsidR="00AC2005" w:rsidRPr="00147DEF" w:rsidRDefault="00DB16DA" w:rsidP="00986CDD">
      <w:pPr>
        <w:spacing w:before="240"/>
        <w:ind w:firstLine="397"/>
        <w:jc w:val="both"/>
        <w:rPr>
          <w:rFonts w:cs="Calibri"/>
          <w:color w:val="FF0000"/>
          <w:szCs w:val="20"/>
        </w:rPr>
      </w:pPr>
      <w:r w:rsidRPr="00147DEF">
        <w:rPr>
          <w:rFonts w:cs="Arial"/>
          <w:b/>
        </w:rPr>
        <w:t xml:space="preserve">Adult education </w:t>
      </w:r>
      <w:r w:rsidRPr="00147DEF">
        <w:rPr>
          <w:rFonts w:cs="Arial"/>
        </w:rPr>
        <w:t>encompass all learning activities during life</w:t>
      </w:r>
      <w:r w:rsidR="009B7346" w:rsidRPr="00147DEF">
        <w:rPr>
          <w:rFonts w:cs="Arial"/>
        </w:rPr>
        <w:t>time</w:t>
      </w:r>
      <w:r w:rsidRPr="00147DEF">
        <w:rPr>
          <w:rFonts w:cs="Arial"/>
        </w:rPr>
        <w:t xml:space="preserve"> (after completing initial education), with the aim of improving knowledge, skills and competences from personal and social aspect, as well as from the aspect connected with the employment.  </w:t>
      </w:r>
    </w:p>
    <w:p w:rsidR="00AC2005" w:rsidRPr="00147DEF" w:rsidRDefault="00DB16DA" w:rsidP="00E834D5">
      <w:pPr>
        <w:spacing w:before="480"/>
        <w:ind w:firstLine="397"/>
        <w:jc w:val="both"/>
        <w:rPr>
          <w:rFonts w:cs="Arial"/>
          <w:b/>
        </w:rPr>
      </w:pPr>
      <w:r w:rsidRPr="00147DEF">
        <w:rPr>
          <w:rFonts w:cs="Arial"/>
          <w:b/>
        </w:rPr>
        <w:t xml:space="preserve">Formal education </w:t>
      </w:r>
    </w:p>
    <w:p w:rsidR="00AC2005" w:rsidRPr="00147DEF" w:rsidRDefault="00DB16DA" w:rsidP="00986CDD">
      <w:pPr>
        <w:spacing w:before="240"/>
        <w:ind w:firstLine="397"/>
        <w:jc w:val="both"/>
        <w:rPr>
          <w:rFonts w:cs="Calibri"/>
          <w:color w:val="FF0000"/>
          <w:szCs w:val="20"/>
        </w:rPr>
      </w:pPr>
      <w:r w:rsidRPr="00147DEF">
        <w:rPr>
          <w:rFonts w:cs="Calibri"/>
          <w:szCs w:val="20"/>
        </w:rPr>
        <w:t xml:space="preserve">Formal education implies structured and institutionalized system </w:t>
      </w:r>
      <w:r w:rsidR="00DC743D" w:rsidRPr="00147DEF">
        <w:rPr>
          <w:rFonts w:cs="Calibri"/>
          <w:szCs w:val="20"/>
        </w:rPr>
        <w:t>regulated</w:t>
      </w:r>
      <w:r w:rsidRPr="00147DEF">
        <w:rPr>
          <w:rFonts w:cs="Calibri"/>
          <w:szCs w:val="20"/>
        </w:rPr>
        <w:t xml:space="preserve"> by the state (</w:t>
      </w:r>
      <w:r w:rsidR="00DC743D" w:rsidRPr="00147DEF">
        <w:rPr>
          <w:rFonts w:cs="Calibri"/>
          <w:szCs w:val="20"/>
        </w:rPr>
        <w:t xml:space="preserve">the </w:t>
      </w:r>
      <w:r w:rsidRPr="00147DEF">
        <w:rPr>
          <w:rFonts w:cs="Calibri"/>
          <w:szCs w:val="20"/>
        </w:rPr>
        <w:t xml:space="preserve">Ministry of education, </w:t>
      </w:r>
      <w:r w:rsidR="00147DEF" w:rsidRPr="00147DEF">
        <w:rPr>
          <w:rFonts w:cs="Calibri"/>
          <w:szCs w:val="20"/>
        </w:rPr>
        <w:t>science</w:t>
      </w:r>
      <w:r w:rsidRPr="00147DEF">
        <w:rPr>
          <w:rFonts w:cs="Calibri"/>
          <w:szCs w:val="20"/>
        </w:rPr>
        <w:t xml:space="preserve"> and technological development). Formal education </w:t>
      </w:r>
      <w:r w:rsidR="003A2612" w:rsidRPr="00147DEF">
        <w:rPr>
          <w:rFonts w:cs="Calibri"/>
          <w:szCs w:val="20"/>
        </w:rPr>
        <w:t xml:space="preserve">means: </w:t>
      </w:r>
      <w:r w:rsidR="00DC743D" w:rsidRPr="00147DEF">
        <w:rPr>
          <w:rFonts w:cs="Calibri"/>
          <w:szCs w:val="20"/>
        </w:rPr>
        <w:t>defined</w:t>
      </w:r>
      <w:r w:rsidR="003A2612" w:rsidRPr="00147DEF">
        <w:rPr>
          <w:rFonts w:cs="Calibri"/>
          <w:szCs w:val="20"/>
        </w:rPr>
        <w:t xml:space="preserve"> </w:t>
      </w:r>
      <w:r w:rsidR="00DC743D" w:rsidRPr="00147DEF">
        <w:rPr>
          <w:rFonts w:cs="Calibri"/>
          <w:szCs w:val="20"/>
        </w:rPr>
        <w:t>objective</w:t>
      </w:r>
      <w:r w:rsidR="003A2612" w:rsidRPr="00147DEF">
        <w:rPr>
          <w:rFonts w:cs="Calibri"/>
          <w:szCs w:val="20"/>
        </w:rPr>
        <w:t xml:space="preserve"> and level of education, plan and program, rules for acquiring high education level, conducted in educational institutions </w:t>
      </w:r>
      <w:r w:rsidR="00DC743D" w:rsidRPr="00147DEF">
        <w:rPr>
          <w:rFonts w:cs="Calibri"/>
          <w:szCs w:val="20"/>
        </w:rPr>
        <w:t>within</w:t>
      </w:r>
      <w:r w:rsidR="003A2612" w:rsidRPr="00147DEF">
        <w:rPr>
          <w:rFonts w:cs="Calibri"/>
          <w:szCs w:val="20"/>
        </w:rPr>
        <w:t xml:space="preserve"> the formal education</w:t>
      </w:r>
      <w:r w:rsidR="00DC743D" w:rsidRPr="00147DEF">
        <w:rPr>
          <w:rFonts w:cs="Calibri"/>
          <w:szCs w:val="20"/>
        </w:rPr>
        <w:t>al</w:t>
      </w:r>
      <w:r w:rsidR="003A2612" w:rsidRPr="00147DEF">
        <w:rPr>
          <w:rFonts w:cs="Calibri"/>
          <w:szCs w:val="20"/>
        </w:rPr>
        <w:t xml:space="preserve"> system. After completing formal education, </w:t>
      </w:r>
      <w:r w:rsidR="00DC743D" w:rsidRPr="00147DEF">
        <w:rPr>
          <w:rFonts w:cs="Calibri"/>
          <w:szCs w:val="20"/>
        </w:rPr>
        <w:t xml:space="preserve">delivered </w:t>
      </w:r>
      <w:proofErr w:type="gramStart"/>
      <w:r w:rsidR="00DC743D" w:rsidRPr="00147DEF">
        <w:rPr>
          <w:rFonts w:cs="Calibri"/>
          <w:szCs w:val="20"/>
        </w:rPr>
        <w:t>are certificates and diplomas</w:t>
      </w:r>
      <w:r w:rsidR="003A2612" w:rsidRPr="00147DEF">
        <w:rPr>
          <w:rFonts w:cs="Calibri"/>
          <w:szCs w:val="20"/>
        </w:rPr>
        <w:t xml:space="preserve"> recognized by the competent ministry</w:t>
      </w:r>
      <w:proofErr w:type="gramEnd"/>
      <w:r w:rsidR="003A2612" w:rsidRPr="00147DEF">
        <w:rPr>
          <w:rFonts w:cs="Calibri"/>
          <w:szCs w:val="20"/>
        </w:rPr>
        <w:t xml:space="preserve">. </w:t>
      </w:r>
    </w:p>
    <w:p w:rsidR="001230AF" w:rsidRPr="00147DEF" w:rsidRDefault="001230AF" w:rsidP="00DC743D">
      <w:pPr>
        <w:rPr>
          <w:rFonts w:cs="Arial"/>
          <w:b/>
        </w:rPr>
      </w:pPr>
      <w:r w:rsidRPr="00147DEF">
        <w:rPr>
          <w:rFonts w:cs="Arial"/>
          <w:b/>
        </w:rPr>
        <w:br w:type="page"/>
      </w:r>
    </w:p>
    <w:p w:rsidR="00AC2005" w:rsidRPr="00147DEF" w:rsidRDefault="009010D7" w:rsidP="009010D7">
      <w:pPr>
        <w:spacing w:before="480"/>
        <w:ind w:firstLine="397"/>
        <w:jc w:val="both"/>
        <w:rPr>
          <w:rFonts w:cs="Arial"/>
          <w:b/>
        </w:rPr>
      </w:pPr>
      <w:r w:rsidRPr="00147DEF">
        <w:rPr>
          <w:rFonts w:cs="Arial"/>
          <w:b/>
          <w:szCs w:val="20"/>
        </w:rPr>
        <w:lastRenderedPageBreak/>
        <w:t>Non-formal education</w:t>
      </w:r>
      <w:r w:rsidRPr="00147DEF">
        <w:rPr>
          <w:rFonts w:cs="Arial"/>
          <w:b/>
        </w:rPr>
        <w:t xml:space="preserve"> </w:t>
      </w:r>
    </w:p>
    <w:p w:rsidR="008F17CC" w:rsidRPr="00147DEF" w:rsidRDefault="009010D7" w:rsidP="006010DA">
      <w:pPr>
        <w:autoSpaceDE w:val="0"/>
        <w:autoSpaceDN w:val="0"/>
        <w:adjustRightInd w:val="0"/>
        <w:spacing w:before="240"/>
        <w:ind w:firstLine="397"/>
        <w:jc w:val="both"/>
        <w:rPr>
          <w:rFonts w:ascii="ArialMT" w:hAnsi="ArialMT" w:cs="ArialMT"/>
          <w:szCs w:val="20"/>
        </w:rPr>
      </w:pPr>
      <w:r w:rsidRPr="00147DEF">
        <w:rPr>
          <w:rFonts w:ascii="ArialMT" w:hAnsi="ArialMT" w:cs="ArialMT"/>
          <w:szCs w:val="20"/>
        </w:rPr>
        <w:t>Non-formal education/training is any institutionali</w:t>
      </w:r>
      <w:r w:rsidR="00E115B3" w:rsidRPr="00147DEF">
        <w:rPr>
          <w:rFonts w:ascii="ArialMT" w:hAnsi="ArialMT" w:cs="ArialMT"/>
          <w:szCs w:val="20"/>
        </w:rPr>
        <w:t>z</w:t>
      </w:r>
      <w:r w:rsidRPr="00147DEF">
        <w:rPr>
          <w:rFonts w:ascii="ArialMT" w:hAnsi="ArialMT" w:cs="ArialMT"/>
          <w:szCs w:val="20"/>
        </w:rPr>
        <w:t>ed learning organi</w:t>
      </w:r>
      <w:r w:rsidR="00E115B3" w:rsidRPr="00147DEF">
        <w:rPr>
          <w:rFonts w:ascii="ArialMT" w:hAnsi="ArialMT" w:cs="ArialMT"/>
          <w:szCs w:val="20"/>
        </w:rPr>
        <w:t>z</w:t>
      </w:r>
      <w:r w:rsidRPr="00147DEF">
        <w:rPr>
          <w:rFonts w:ascii="ArialMT" w:hAnsi="ArialMT" w:cs="ArialMT"/>
          <w:szCs w:val="20"/>
        </w:rPr>
        <w:t>ed through structured programs,</w:t>
      </w:r>
      <w:r w:rsidR="005E19CF" w:rsidRPr="00147DEF">
        <w:rPr>
          <w:rFonts w:ascii="ArialMT" w:hAnsi="ArialMT" w:cs="ArialMT"/>
          <w:szCs w:val="20"/>
        </w:rPr>
        <w:t xml:space="preserve"> which</w:t>
      </w:r>
      <w:r w:rsidRPr="00147DEF">
        <w:rPr>
          <w:rFonts w:ascii="ArialMT" w:hAnsi="ArialMT" w:cs="ArialMT"/>
          <w:szCs w:val="20"/>
        </w:rPr>
        <w:t xml:space="preserve"> is not part of the formal educational system. Those are learning processes organi</w:t>
      </w:r>
      <w:r w:rsidR="00E115B3" w:rsidRPr="00147DEF">
        <w:rPr>
          <w:rFonts w:ascii="ArialMT" w:hAnsi="ArialMT" w:cs="ArialMT"/>
          <w:szCs w:val="20"/>
        </w:rPr>
        <w:t>z</w:t>
      </w:r>
      <w:r w:rsidRPr="00147DEF">
        <w:rPr>
          <w:rFonts w:ascii="ArialMT" w:hAnsi="ArialMT" w:cs="ArialMT"/>
          <w:szCs w:val="20"/>
        </w:rPr>
        <w:t>ed with the intention to</w:t>
      </w:r>
      <w:r w:rsidR="005E19CF" w:rsidRPr="00147DEF">
        <w:rPr>
          <w:rFonts w:ascii="ArialMT" w:hAnsi="ArialMT" w:cs="ArialMT"/>
          <w:szCs w:val="20"/>
        </w:rPr>
        <w:t xml:space="preserve"> </w:t>
      </w:r>
      <w:r w:rsidRPr="00147DEF">
        <w:rPr>
          <w:rFonts w:ascii="ArialMT" w:hAnsi="ArialMT" w:cs="ArialMT"/>
          <w:szCs w:val="20"/>
        </w:rPr>
        <w:t>acquire qualifications for work and other activities, as well as to improve personal skills. Non-formal education is reali</w:t>
      </w:r>
      <w:r w:rsidR="00E115B3" w:rsidRPr="00147DEF">
        <w:rPr>
          <w:rFonts w:ascii="ArialMT" w:hAnsi="ArialMT" w:cs="ArialMT"/>
          <w:szCs w:val="20"/>
        </w:rPr>
        <w:t>z</w:t>
      </w:r>
      <w:r w:rsidRPr="00147DEF">
        <w:rPr>
          <w:rFonts w:ascii="ArialMT" w:hAnsi="ArialMT" w:cs="ArialMT"/>
          <w:szCs w:val="20"/>
        </w:rPr>
        <w:t xml:space="preserve">ed </w:t>
      </w:r>
      <w:proofErr w:type="gramStart"/>
      <w:r w:rsidRPr="00147DEF">
        <w:rPr>
          <w:rFonts w:ascii="ArialMT" w:hAnsi="ArialMT" w:cs="ArialMT"/>
          <w:szCs w:val="20"/>
        </w:rPr>
        <w:t>through:</w:t>
      </w:r>
      <w:proofErr w:type="gramEnd"/>
      <w:r w:rsidRPr="00147DEF">
        <w:rPr>
          <w:rFonts w:ascii="ArialMT" w:hAnsi="ArialMT" w:cs="ArialMT"/>
          <w:szCs w:val="20"/>
        </w:rPr>
        <w:t xml:space="preserve"> courses, workshops and seminars, training at work place, private lessons</w:t>
      </w:r>
      <w:r w:rsidR="008F17CC" w:rsidRPr="00147DEF">
        <w:rPr>
          <w:rFonts w:ascii="ArialMT" w:hAnsi="ArialMT" w:cs="ArialMT"/>
          <w:szCs w:val="20"/>
        </w:rPr>
        <w:t>.</w:t>
      </w:r>
    </w:p>
    <w:p w:rsidR="00AC2005" w:rsidRPr="00147DEF" w:rsidRDefault="008F17CC" w:rsidP="006010DA">
      <w:pPr>
        <w:spacing w:before="480" w:after="240"/>
        <w:ind w:firstLine="397"/>
        <w:jc w:val="both"/>
        <w:rPr>
          <w:rFonts w:cs="Arial"/>
          <w:b/>
        </w:rPr>
      </w:pPr>
      <w:r w:rsidRPr="00147DEF">
        <w:rPr>
          <w:rFonts w:cs="Arial"/>
          <w:b/>
          <w:szCs w:val="20"/>
        </w:rPr>
        <w:t>Informal learning</w:t>
      </w:r>
      <w:r w:rsidRPr="00147DEF">
        <w:rPr>
          <w:rFonts w:cs="Arial"/>
          <w:b/>
        </w:rPr>
        <w:t xml:space="preserve"> </w:t>
      </w:r>
    </w:p>
    <w:p w:rsidR="008F17CC" w:rsidRPr="00147DEF" w:rsidRDefault="008F17CC" w:rsidP="006010DA">
      <w:pPr>
        <w:autoSpaceDE w:val="0"/>
        <w:autoSpaceDN w:val="0"/>
        <w:adjustRightInd w:val="0"/>
        <w:spacing w:before="240"/>
        <w:ind w:firstLine="397"/>
        <w:jc w:val="both"/>
        <w:rPr>
          <w:rFonts w:cs="Arial"/>
          <w:szCs w:val="20"/>
        </w:rPr>
      </w:pPr>
      <w:r w:rsidRPr="00147DEF">
        <w:rPr>
          <w:rFonts w:cs="Arial"/>
          <w:szCs w:val="20"/>
        </w:rPr>
        <w:t>Informal learning is learning that is planned, but not organi</w:t>
      </w:r>
      <w:r w:rsidR="00E115B3" w:rsidRPr="00147DEF">
        <w:rPr>
          <w:rFonts w:cs="Arial"/>
          <w:szCs w:val="20"/>
        </w:rPr>
        <w:t>z</w:t>
      </w:r>
      <w:r w:rsidRPr="00147DEF">
        <w:rPr>
          <w:rFonts w:cs="Arial"/>
          <w:szCs w:val="20"/>
        </w:rPr>
        <w:t>ed and structured (not institutionali</w:t>
      </w:r>
      <w:r w:rsidR="00E115B3" w:rsidRPr="00147DEF">
        <w:rPr>
          <w:rFonts w:cs="Arial"/>
          <w:szCs w:val="20"/>
        </w:rPr>
        <w:t>z</w:t>
      </w:r>
      <w:r w:rsidRPr="00147DEF">
        <w:rPr>
          <w:rFonts w:cs="Arial"/>
          <w:szCs w:val="20"/>
        </w:rPr>
        <w:t>ed).</w:t>
      </w:r>
    </w:p>
    <w:p w:rsidR="008F17CC" w:rsidRPr="00147DEF" w:rsidRDefault="008F17CC" w:rsidP="006010DA">
      <w:pPr>
        <w:autoSpaceDE w:val="0"/>
        <w:autoSpaceDN w:val="0"/>
        <w:adjustRightInd w:val="0"/>
        <w:spacing w:before="240"/>
        <w:ind w:firstLine="397"/>
        <w:jc w:val="both"/>
        <w:rPr>
          <w:rFonts w:ascii="ArialMT" w:hAnsi="ArialMT" w:cs="ArialMT"/>
          <w:szCs w:val="20"/>
        </w:rPr>
      </w:pPr>
      <w:r w:rsidRPr="00147DEF">
        <w:rPr>
          <w:rFonts w:cs="Arial"/>
          <w:szCs w:val="20"/>
        </w:rPr>
        <w:t>Informal learning covers learning in the family, in the work place or in daily life, on self-directed, family-based or</w:t>
      </w:r>
      <w:r w:rsidR="005E19CF" w:rsidRPr="00147DEF">
        <w:rPr>
          <w:rFonts w:cs="Arial"/>
          <w:szCs w:val="20"/>
        </w:rPr>
        <w:t xml:space="preserve"> </w:t>
      </w:r>
      <w:r w:rsidR="00E115B3" w:rsidRPr="00147DEF">
        <w:rPr>
          <w:rFonts w:cs="Arial"/>
          <w:szCs w:val="20"/>
        </w:rPr>
        <w:t>s</w:t>
      </w:r>
      <w:r w:rsidRPr="00147DEF">
        <w:rPr>
          <w:rFonts w:cs="Arial"/>
          <w:szCs w:val="20"/>
        </w:rPr>
        <w:t>ocially</w:t>
      </w:r>
      <w:r w:rsidR="00E115B3" w:rsidRPr="00147DEF">
        <w:rPr>
          <w:rFonts w:cs="Arial"/>
          <w:szCs w:val="20"/>
        </w:rPr>
        <w:t xml:space="preserve"> </w:t>
      </w:r>
      <w:r w:rsidRPr="00147DEF">
        <w:rPr>
          <w:rFonts w:cs="Arial"/>
          <w:szCs w:val="20"/>
        </w:rPr>
        <w:t>-</w:t>
      </w:r>
      <w:r w:rsidR="00E115B3" w:rsidRPr="00147DEF">
        <w:rPr>
          <w:rFonts w:cs="Arial"/>
          <w:szCs w:val="20"/>
        </w:rPr>
        <w:t xml:space="preserve"> </w:t>
      </w:r>
      <w:r w:rsidRPr="00147DEF">
        <w:rPr>
          <w:rFonts w:cs="Arial"/>
          <w:szCs w:val="20"/>
        </w:rPr>
        <w:t xml:space="preserve">directed basis. It takes place </w:t>
      </w:r>
      <w:proofErr w:type="gramStart"/>
      <w:r w:rsidRPr="00147DEF">
        <w:rPr>
          <w:rFonts w:cs="Arial"/>
          <w:szCs w:val="20"/>
        </w:rPr>
        <w:t>through:</w:t>
      </w:r>
      <w:proofErr w:type="gramEnd"/>
      <w:r w:rsidRPr="00147DEF">
        <w:rPr>
          <w:rFonts w:cs="Arial"/>
          <w:szCs w:val="20"/>
        </w:rPr>
        <w:t xml:space="preserve"> learning from family members, friends and colleagues; use of</w:t>
      </w:r>
      <w:r w:rsidR="005E19CF" w:rsidRPr="00147DEF">
        <w:rPr>
          <w:rFonts w:cs="Arial"/>
          <w:szCs w:val="20"/>
        </w:rPr>
        <w:t xml:space="preserve"> </w:t>
      </w:r>
      <w:r w:rsidRPr="00147DEF">
        <w:rPr>
          <w:rFonts w:cs="Arial"/>
          <w:szCs w:val="20"/>
        </w:rPr>
        <w:t>various printed materials (books, professional magazines); use of computers, Internet downloads; use of</w:t>
      </w:r>
      <w:r w:rsidR="005E19CF" w:rsidRPr="00147DEF">
        <w:rPr>
          <w:rFonts w:cs="Arial"/>
          <w:szCs w:val="20"/>
        </w:rPr>
        <w:t xml:space="preserve"> </w:t>
      </w:r>
      <w:r w:rsidRPr="00147DEF">
        <w:rPr>
          <w:rFonts w:cs="Arial"/>
          <w:szCs w:val="20"/>
        </w:rPr>
        <w:t>various television, radio, video or audio materials.</w:t>
      </w:r>
    </w:p>
    <w:p w:rsidR="00AC2005" w:rsidRPr="00147DEF" w:rsidRDefault="00AC2005" w:rsidP="00986CDD">
      <w:pPr>
        <w:spacing w:before="240"/>
        <w:ind w:firstLine="397"/>
        <w:jc w:val="both"/>
        <w:rPr>
          <w:rFonts w:cs="Calibri"/>
          <w:szCs w:val="20"/>
        </w:rPr>
      </w:pPr>
      <w:r w:rsidRPr="00147DEF">
        <w:rPr>
          <w:rFonts w:cs="Calibri"/>
          <w:szCs w:val="20"/>
        </w:rPr>
        <w:t xml:space="preserve"> </w:t>
      </w:r>
    </w:p>
    <w:p w:rsidR="008F17CC" w:rsidRPr="00147DEF" w:rsidRDefault="008F17CC" w:rsidP="00986CDD">
      <w:pPr>
        <w:spacing w:before="240"/>
        <w:ind w:firstLine="397"/>
        <w:jc w:val="both"/>
        <w:rPr>
          <w:rFonts w:cs="Calibri"/>
          <w:szCs w:val="20"/>
        </w:rPr>
      </w:pPr>
    </w:p>
    <w:p w:rsidR="008B1F76" w:rsidRPr="00147DEF" w:rsidRDefault="008B1F76" w:rsidP="008F17CC">
      <w:pPr>
        <w:spacing w:before="120"/>
        <w:ind w:firstLine="397"/>
        <w:rPr>
          <w:rFonts w:cs="Arial"/>
          <w:sz w:val="18"/>
          <w:szCs w:val="18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41739D" w:rsidRPr="00147DEF" w:rsidTr="00121983">
        <w:tc>
          <w:tcPr>
            <w:tcW w:w="9379" w:type="dxa"/>
            <w:shd w:val="clear" w:color="auto" w:fill="auto"/>
          </w:tcPr>
          <w:p w:rsidR="004E744D" w:rsidRPr="00147DEF" w:rsidRDefault="004F2649" w:rsidP="00121983">
            <w:pPr>
              <w:spacing w:before="120"/>
              <w:jc w:val="center"/>
              <w:rPr>
                <w:rFonts w:cs="Arial"/>
                <w:iCs/>
                <w:sz w:val="18"/>
                <w:szCs w:val="18"/>
              </w:rPr>
            </w:pPr>
            <w:r w:rsidRPr="00147DEF">
              <w:rPr>
                <w:rFonts w:cs="Arial"/>
                <w:iCs/>
                <w:sz w:val="18"/>
                <w:szCs w:val="18"/>
              </w:rPr>
              <w:t>Contact</w:t>
            </w:r>
            <w:r w:rsidR="004E744D" w:rsidRPr="00147DEF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E3719C" w:rsidRPr="00147DEF">
              <w:rPr>
                <w:rFonts w:cs="Arial"/>
                <w:iCs/>
                <w:color w:val="0000FF"/>
                <w:sz w:val="18"/>
                <w:szCs w:val="18"/>
              </w:rPr>
              <w:t>nadezda.bogdanovic</w:t>
            </w:r>
            <w:r w:rsidR="004E744D" w:rsidRPr="00147DEF">
              <w:rPr>
                <w:rFonts w:cs="Arial"/>
                <w:iCs/>
                <w:color w:val="0000FF"/>
                <w:sz w:val="18"/>
                <w:szCs w:val="18"/>
              </w:rPr>
              <w:t>@stat.gov.rs</w:t>
            </w:r>
            <w:r w:rsidR="000C78DA" w:rsidRPr="00147DEF">
              <w:rPr>
                <w:rFonts w:cs="Arial"/>
                <w:iCs/>
                <w:color w:val="0000FF"/>
                <w:sz w:val="18"/>
                <w:szCs w:val="18"/>
              </w:rPr>
              <w:t>,</w:t>
            </w:r>
            <w:r w:rsidR="004E744D" w:rsidRPr="00147DEF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147DEF">
              <w:rPr>
                <w:rFonts w:cs="Arial"/>
                <w:iCs/>
                <w:sz w:val="18"/>
                <w:szCs w:val="18"/>
              </w:rPr>
              <w:t>Phone</w:t>
            </w:r>
            <w:r w:rsidR="004E744D" w:rsidRPr="00147DEF">
              <w:rPr>
                <w:rFonts w:cs="Arial"/>
                <w:iCs/>
                <w:sz w:val="18"/>
                <w:szCs w:val="18"/>
              </w:rPr>
              <w:t>: 011 2412-922</w:t>
            </w:r>
            <w:r w:rsidR="000C78DA" w:rsidRPr="00147DEF">
              <w:rPr>
                <w:rFonts w:cs="Arial"/>
                <w:iCs/>
                <w:sz w:val="18"/>
                <w:szCs w:val="18"/>
              </w:rPr>
              <w:t>,</w:t>
            </w:r>
            <w:r w:rsidR="004E744D" w:rsidRPr="00147DEF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147DEF">
              <w:rPr>
                <w:rFonts w:cs="Arial"/>
                <w:iCs/>
                <w:sz w:val="18"/>
                <w:szCs w:val="18"/>
              </w:rPr>
              <w:t>ext.</w:t>
            </w:r>
            <w:r w:rsidR="004E744D" w:rsidRPr="00147DEF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C1BCB" w:rsidRPr="00147DEF">
              <w:rPr>
                <w:rFonts w:cs="Arial"/>
                <w:iCs/>
                <w:sz w:val="18"/>
                <w:szCs w:val="18"/>
              </w:rPr>
              <w:t>285</w:t>
            </w:r>
          </w:p>
          <w:p w:rsidR="004F2649" w:rsidRPr="00147DEF" w:rsidRDefault="004F2649" w:rsidP="004F2649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147DEF">
              <w:rPr>
                <w:rFonts w:cs="Arial"/>
                <w:iCs/>
                <w:sz w:val="18"/>
                <w:szCs w:val="18"/>
              </w:rPr>
              <w:t xml:space="preserve">Published and printed by: Statistical Office of the Republic of Serbia, 11 050 Belgrade, </w:t>
            </w:r>
            <w:proofErr w:type="spellStart"/>
            <w:r w:rsidRPr="00147DEF">
              <w:rPr>
                <w:rFonts w:cs="Arial"/>
                <w:iCs/>
                <w:sz w:val="18"/>
                <w:szCs w:val="18"/>
              </w:rPr>
              <w:t>Milana</w:t>
            </w:r>
            <w:proofErr w:type="spellEnd"/>
            <w:r w:rsidRPr="00147DEF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47DEF">
              <w:rPr>
                <w:rFonts w:cs="Arial"/>
                <w:iCs/>
                <w:sz w:val="18"/>
                <w:szCs w:val="18"/>
              </w:rPr>
              <w:t>Rakica</w:t>
            </w:r>
            <w:proofErr w:type="spellEnd"/>
            <w:r w:rsidRPr="00147DEF">
              <w:rPr>
                <w:rFonts w:cs="Arial"/>
                <w:iCs/>
                <w:sz w:val="18"/>
                <w:szCs w:val="18"/>
              </w:rPr>
              <w:t xml:space="preserve"> 5</w:t>
            </w:r>
          </w:p>
          <w:p w:rsidR="004F2649" w:rsidRPr="00147DEF" w:rsidRDefault="004F2649" w:rsidP="004F2649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147DEF">
              <w:rPr>
                <w:rFonts w:cs="Arial"/>
                <w:iCs/>
                <w:sz w:val="18"/>
                <w:szCs w:val="18"/>
              </w:rPr>
              <w:t xml:space="preserve">Phone: +381 11 2412922 </w:t>
            </w:r>
            <w:r w:rsidRPr="00147DEF">
              <w:rPr>
                <w:rFonts w:cs="Arial"/>
                <w:sz w:val="18"/>
                <w:szCs w:val="18"/>
              </w:rPr>
              <w:t>(telephone exchange) •</w:t>
            </w:r>
            <w:r w:rsidRPr="00147DEF">
              <w:rPr>
                <w:rFonts w:cs="Arial"/>
                <w:iCs/>
                <w:sz w:val="18"/>
                <w:szCs w:val="18"/>
              </w:rPr>
              <w:t xml:space="preserve"> Fax: +381 11 2411260 </w:t>
            </w:r>
            <w:r w:rsidRPr="00147DEF">
              <w:rPr>
                <w:rFonts w:cs="Arial"/>
                <w:sz w:val="18"/>
                <w:szCs w:val="18"/>
              </w:rPr>
              <w:t>•</w:t>
            </w:r>
            <w:r w:rsidRPr="00147DEF">
              <w:rPr>
                <w:rFonts w:cs="Arial"/>
                <w:iCs/>
                <w:sz w:val="18"/>
                <w:szCs w:val="18"/>
              </w:rPr>
              <w:t xml:space="preserve"> www.stat.gov.rs</w:t>
            </w:r>
          </w:p>
          <w:p w:rsidR="004F2649" w:rsidRPr="00147DEF" w:rsidRDefault="004F2649" w:rsidP="004F2649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147DEF">
              <w:rPr>
                <w:rFonts w:cs="Arial"/>
                <w:iCs/>
                <w:sz w:val="18"/>
                <w:szCs w:val="18"/>
              </w:rPr>
              <w:t xml:space="preserve">Responsible: Dr </w:t>
            </w:r>
            <w:proofErr w:type="spellStart"/>
            <w:r w:rsidRPr="00147DEF">
              <w:rPr>
                <w:rFonts w:cs="Arial"/>
                <w:iCs/>
                <w:sz w:val="18"/>
                <w:szCs w:val="18"/>
              </w:rPr>
              <w:t>Miladin</w:t>
            </w:r>
            <w:proofErr w:type="spellEnd"/>
            <w:r w:rsidRPr="00147DEF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147DEF">
              <w:rPr>
                <w:rFonts w:cs="Arial"/>
                <w:iCs/>
                <w:sz w:val="18"/>
                <w:szCs w:val="18"/>
              </w:rPr>
              <w:t>Kovačević</w:t>
            </w:r>
            <w:proofErr w:type="spellEnd"/>
            <w:r w:rsidRPr="00147DEF">
              <w:rPr>
                <w:rFonts w:cs="Arial"/>
                <w:iCs/>
                <w:sz w:val="18"/>
                <w:szCs w:val="18"/>
              </w:rPr>
              <w:t>, Director</w:t>
            </w:r>
          </w:p>
          <w:p w:rsidR="0041739D" w:rsidRPr="00147DEF" w:rsidRDefault="004F2649" w:rsidP="00B43D74">
            <w:pPr>
              <w:jc w:val="center"/>
              <w:rPr>
                <w:i/>
                <w:iCs/>
              </w:rPr>
            </w:pPr>
            <w:r w:rsidRPr="00147DEF">
              <w:rPr>
                <w:rFonts w:cs="Arial"/>
                <w:sz w:val="18"/>
                <w:szCs w:val="18"/>
              </w:rPr>
              <w:t>Circulation</w:t>
            </w:r>
            <w:r w:rsidR="0041739D" w:rsidRPr="00147DEF">
              <w:rPr>
                <w:rFonts w:cs="Arial"/>
                <w:iCs/>
                <w:sz w:val="18"/>
                <w:szCs w:val="18"/>
              </w:rPr>
              <w:t xml:space="preserve">: 20 ● </w:t>
            </w:r>
            <w:r w:rsidRPr="00147DEF">
              <w:rPr>
                <w:rFonts w:cs="Arial"/>
                <w:iCs/>
                <w:sz w:val="18"/>
                <w:szCs w:val="18"/>
              </w:rPr>
              <w:t>Periodicity</w:t>
            </w:r>
            <w:r w:rsidR="0041739D" w:rsidRPr="00147DEF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B43D74" w:rsidRPr="00147DEF">
              <w:rPr>
                <w:rFonts w:cs="Arial"/>
                <w:iCs/>
                <w:sz w:val="18"/>
                <w:szCs w:val="18"/>
              </w:rPr>
              <w:t>five-annual</w:t>
            </w:r>
          </w:p>
        </w:tc>
      </w:tr>
    </w:tbl>
    <w:p w:rsidR="009324E6" w:rsidRPr="00147DEF" w:rsidRDefault="009324E6" w:rsidP="0046281B">
      <w:pPr>
        <w:rPr>
          <w:sz w:val="2"/>
          <w:szCs w:val="2"/>
        </w:rPr>
      </w:pPr>
    </w:p>
    <w:sectPr w:rsidR="009324E6" w:rsidRPr="00147DEF" w:rsidSect="00A7556A">
      <w:footerReference w:type="even" r:id="rId15"/>
      <w:footerReference w:type="default" r:id="rId16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75" w:rsidRDefault="00F10475">
      <w:r>
        <w:separator/>
      </w:r>
    </w:p>
  </w:endnote>
  <w:endnote w:type="continuationSeparator" w:id="0">
    <w:p w:rsidR="00F10475" w:rsidRDefault="00F1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5"/>
      <w:gridCol w:w="5110"/>
    </w:tblGrid>
    <w:tr w:rsidR="00453C7F" w:rsidRPr="00E307F1" w:rsidTr="00121983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:rsidR="00453C7F" w:rsidRPr="00BB5EA2" w:rsidRDefault="00453C7F" w:rsidP="00121983">
          <w:pPr>
            <w:spacing w:before="120"/>
            <w:rPr>
              <w:iCs/>
              <w:sz w:val="16"/>
              <w:szCs w:val="16"/>
            </w:rPr>
          </w:pPr>
          <w:r w:rsidRPr="00BB5EA2">
            <w:rPr>
              <w:iCs/>
              <w:sz w:val="16"/>
              <w:szCs w:val="16"/>
            </w:rPr>
            <w:fldChar w:fldCharType="begin"/>
          </w:r>
          <w:r w:rsidRPr="00BB5EA2">
            <w:rPr>
              <w:iCs/>
              <w:sz w:val="16"/>
              <w:szCs w:val="16"/>
            </w:rPr>
            <w:instrText xml:space="preserve"> PAGE </w:instrText>
          </w:r>
          <w:r w:rsidRPr="00BB5EA2">
            <w:rPr>
              <w:iCs/>
              <w:sz w:val="16"/>
              <w:szCs w:val="16"/>
            </w:rPr>
            <w:fldChar w:fldCharType="separate"/>
          </w:r>
          <w:r w:rsidR="006E6BA4">
            <w:rPr>
              <w:iCs/>
              <w:noProof/>
              <w:sz w:val="16"/>
              <w:szCs w:val="16"/>
            </w:rPr>
            <w:t>4</w:t>
          </w:r>
          <w:r w:rsidRPr="00BB5EA2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:rsidR="00D874E5" w:rsidRPr="00AC2005" w:rsidRDefault="000236EB" w:rsidP="000236EB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>
            <w:rPr>
              <w:bCs/>
              <w:sz w:val="16"/>
              <w:szCs w:val="16"/>
            </w:rPr>
            <w:t>SERB131 DD60</w:t>
          </w:r>
          <w:r w:rsidR="00453C7F" w:rsidRPr="004B08A1">
            <w:rPr>
              <w:bCs/>
              <w:sz w:val="16"/>
              <w:szCs w:val="16"/>
            </w:rPr>
            <w:t xml:space="preserve"> </w:t>
          </w:r>
          <w:r w:rsidR="00AC2005">
            <w:rPr>
              <w:bCs/>
              <w:sz w:val="16"/>
              <w:szCs w:val="16"/>
              <w:lang w:val="sr-Latn-RS"/>
            </w:rPr>
            <w:t>300518</w:t>
          </w:r>
        </w:p>
      </w:tc>
    </w:tr>
  </w:tbl>
  <w:p w:rsidR="00453C7F" w:rsidRPr="005C58EB" w:rsidRDefault="00453C7F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9"/>
      <w:gridCol w:w="5096"/>
    </w:tblGrid>
    <w:tr w:rsidR="00453C7F" w:rsidTr="00121983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:rsidR="00453C7F" w:rsidRPr="00121983" w:rsidRDefault="000236EB" w:rsidP="000236EB">
          <w:pPr>
            <w:spacing w:before="120"/>
            <w:rPr>
              <w:i/>
              <w:iCs/>
              <w:sz w:val="16"/>
              <w:szCs w:val="16"/>
            </w:rPr>
          </w:pPr>
          <w:r>
            <w:rPr>
              <w:bCs/>
              <w:sz w:val="16"/>
              <w:szCs w:val="16"/>
            </w:rPr>
            <w:t>SERB</w:t>
          </w:r>
          <w:r w:rsidR="00AC2005">
            <w:rPr>
              <w:bCs/>
              <w:sz w:val="16"/>
              <w:szCs w:val="16"/>
              <w:lang w:val="sr-Latn-RS"/>
            </w:rPr>
            <w:t>131</w:t>
          </w:r>
          <w:r w:rsidR="00BB5EA2" w:rsidRPr="004B08A1">
            <w:rPr>
              <w:bCs/>
              <w:sz w:val="16"/>
              <w:szCs w:val="16"/>
            </w:rPr>
            <w:t xml:space="preserve"> </w:t>
          </w:r>
          <w:r>
            <w:rPr>
              <w:bCs/>
              <w:sz w:val="16"/>
              <w:szCs w:val="16"/>
            </w:rPr>
            <w:t>DD</w:t>
          </w:r>
          <w:r w:rsidR="00AC2005">
            <w:rPr>
              <w:bCs/>
              <w:sz w:val="16"/>
              <w:szCs w:val="16"/>
              <w:lang w:val="sr-Latn-RS"/>
            </w:rPr>
            <w:t>6</w:t>
          </w:r>
          <w:r w:rsidR="00A24A95" w:rsidRPr="004B08A1">
            <w:rPr>
              <w:bCs/>
              <w:sz w:val="16"/>
              <w:szCs w:val="16"/>
            </w:rPr>
            <w:t>0</w:t>
          </w:r>
          <w:r w:rsidR="00BB5EA2" w:rsidRPr="004B08A1">
            <w:rPr>
              <w:bCs/>
              <w:sz w:val="16"/>
              <w:szCs w:val="16"/>
            </w:rPr>
            <w:t xml:space="preserve"> </w:t>
          </w:r>
          <w:r w:rsidR="00AC2005">
            <w:rPr>
              <w:bCs/>
              <w:sz w:val="16"/>
              <w:szCs w:val="16"/>
              <w:lang w:val="sr-Latn-RS"/>
            </w:rPr>
            <w:t>300518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:rsidR="00453C7F" w:rsidRPr="00BB5EA2" w:rsidRDefault="00453C7F" w:rsidP="00121983">
          <w:pPr>
            <w:spacing w:before="120"/>
            <w:jc w:val="right"/>
            <w:rPr>
              <w:bCs/>
              <w:sz w:val="16"/>
              <w:szCs w:val="16"/>
            </w:rPr>
          </w:pPr>
          <w:r w:rsidRPr="00BB5EA2">
            <w:rPr>
              <w:bCs/>
              <w:sz w:val="16"/>
              <w:szCs w:val="16"/>
            </w:rPr>
            <w:fldChar w:fldCharType="begin"/>
          </w:r>
          <w:r w:rsidRPr="00BB5EA2">
            <w:rPr>
              <w:bCs/>
              <w:sz w:val="16"/>
              <w:szCs w:val="16"/>
            </w:rPr>
            <w:instrText xml:space="preserve"> PAGE </w:instrText>
          </w:r>
          <w:r w:rsidRPr="00BB5EA2">
            <w:rPr>
              <w:bCs/>
              <w:sz w:val="16"/>
              <w:szCs w:val="16"/>
            </w:rPr>
            <w:fldChar w:fldCharType="separate"/>
          </w:r>
          <w:r w:rsidR="006E6BA4">
            <w:rPr>
              <w:bCs/>
              <w:noProof/>
              <w:sz w:val="16"/>
              <w:szCs w:val="16"/>
            </w:rPr>
            <w:t>3</w:t>
          </w:r>
          <w:r w:rsidRPr="00BB5EA2">
            <w:rPr>
              <w:bCs/>
              <w:sz w:val="16"/>
              <w:szCs w:val="16"/>
            </w:rPr>
            <w:fldChar w:fldCharType="end"/>
          </w:r>
        </w:p>
      </w:tc>
    </w:tr>
  </w:tbl>
  <w:p w:rsidR="00453C7F" w:rsidRPr="005C58EB" w:rsidRDefault="00453C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75" w:rsidRDefault="00F10475">
      <w:r>
        <w:separator/>
      </w:r>
    </w:p>
  </w:footnote>
  <w:footnote w:type="continuationSeparator" w:id="0">
    <w:p w:rsidR="00F10475" w:rsidRDefault="00F1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A62BC7"/>
    <w:multiLevelType w:val="hybridMultilevel"/>
    <w:tmpl w:val="C0D8D374"/>
    <w:lvl w:ilvl="0" w:tplc="F47A87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3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4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345BCC"/>
    <w:multiLevelType w:val="hybridMultilevel"/>
    <w:tmpl w:val="CB0AD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1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3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5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56303AB2"/>
    <w:multiLevelType w:val="hybridMultilevel"/>
    <w:tmpl w:val="E81E8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1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2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25"/>
  </w:num>
  <w:num w:numId="13">
    <w:abstractNumId w:val="8"/>
  </w:num>
  <w:num w:numId="14">
    <w:abstractNumId w:val="30"/>
  </w:num>
  <w:num w:numId="15">
    <w:abstractNumId w:val="27"/>
  </w:num>
  <w:num w:numId="16">
    <w:abstractNumId w:val="13"/>
  </w:num>
  <w:num w:numId="17">
    <w:abstractNumId w:val="14"/>
  </w:num>
  <w:num w:numId="18">
    <w:abstractNumId w:val="33"/>
  </w:num>
  <w:num w:numId="19">
    <w:abstractNumId w:val="24"/>
  </w:num>
  <w:num w:numId="20">
    <w:abstractNumId w:val="21"/>
  </w:num>
  <w:num w:numId="21">
    <w:abstractNumId w:val="32"/>
  </w:num>
  <w:num w:numId="22">
    <w:abstractNumId w:val="26"/>
  </w:num>
  <w:num w:numId="23">
    <w:abstractNumId w:val="23"/>
  </w:num>
  <w:num w:numId="24">
    <w:abstractNumId w:val="17"/>
  </w:num>
  <w:num w:numId="25">
    <w:abstractNumId w:val="16"/>
  </w:num>
  <w:num w:numId="26">
    <w:abstractNumId w:val="19"/>
  </w:num>
  <w:num w:numId="27">
    <w:abstractNumId w:val="31"/>
  </w:num>
  <w:num w:numId="28">
    <w:abstractNumId w:val="12"/>
  </w:num>
  <w:num w:numId="29">
    <w:abstractNumId w:val="28"/>
  </w:num>
  <w:num w:numId="30">
    <w:abstractNumId w:val="22"/>
  </w:num>
  <w:num w:numId="31">
    <w:abstractNumId w:val="20"/>
  </w:num>
  <w:num w:numId="32">
    <w:abstractNumId w:val="10"/>
  </w:num>
  <w:num w:numId="33">
    <w:abstractNumId w:val="11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F"/>
    <w:rsid w:val="00000930"/>
    <w:rsid w:val="00004300"/>
    <w:rsid w:val="000043B3"/>
    <w:rsid w:val="000049E7"/>
    <w:rsid w:val="00006E81"/>
    <w:rsid w:val="00007147"/>
    <w:rsid w:val="000143E0"/>
    <w:rsid w:val="0001483F"/>
    <w:rsid w:val="00014EB0"/>
    <w:rsid w:val="0001555B"/>
    <w:rsid w:val="00015CAF"/>
    <w:rsid w:val="00016092"/>
    <w:rsid w:val="000163BB"/>
    <w:rsid w:val="00016B1A"/>
    <w:rsid w:val="00017FF4"/>
    <w:rsid w:val="000219E7"/>
    <w:rsid w:val="00021C9B"/>
    <w:rsid w:val="000236EB"/>
    <w:rsid w:val="000267FD"/>
    <w:rsid w:val="00030BF1"/>
    <w:rsid w:val="00030C8E"/>
    <w:rsid w:val="00033823"/>
    <w:rsid w:val="0004257C"/>
    <w:rsid w:val="000426E3"/>
    <w:rsid w:val="00043FDF"/>
    <w:rsid w:val="00044911"/>
    <w:rsid w:val="00045233"/>
    <w:rsid w:val="0004716C"/>
    <w:rsid w:val="00053023"/>
    <w:rsid w:val="000539A6"/>
    <w:rsid w:val="000577D3"/>
    <w:rsid w:val="000619D9"/>
    <w:rsid w:val="00062C6A"/>
    <w:rsid w:val="00064080"/>
    <w:rsid w:val="00066257"/>
    <w:rsid w:val="00067794"/>
    <w:rsid w:val="00067CE4"/>
    <w:rsid w:val="0007058D"/>
    <w:rsid w:val="00070E3F"/>
    <w:rsid w:val="00072B03"/>
    <w:rsid w:val="00073EE4"/>
    <w:rsid w:val="00076268"/>
    <w:rsid w:val="00077A36"/>
    <w:rsid w:val="00077A3B"/>
    <w:rsid w:val="00081FB5"/>
    <w:rsid w:val="000867E0"/>
    <w:rsid w:val="000A0451"/>
    <w:rsid w:val="000A262A"/>
    <w:rsid w:val="000A29EC"/>
    <w:rsid w:val="000A37B0"/>
    <w:rsid w:val="000A3AF9"/>
    <w:rsid w:val="000A6D96"/>
    <w:rsid w:val="000B3454"/>
    <w:rsid w:val="000C04B3"/>
    <w:rsid w:val="000C1AD8"/>
    <w:rsid w:val="000C1B97"/>
    <w:rsid w:val="000C5009"/>
    <w:rsid w:val="000C686F"/>
    <w:rsid w:val="000C688C"/>
    <w:rsid w:val="000C78DA"/>
    <w:rsid w:val="000D1593"/>
    <w:rsid w:val="000D46B9"/>
    <w:rsid w:val="000D4726"/>
    <w:rsid w:val="000E0B04"/>
    <w:rsid w:val="000E2C28"/>
    <w:rsid w:val="000E574A"/>
    <w:rsid w:val="000E777C"/>
    <w:rsid w:val="000F3ABD"/>
    <w:rsid w:val="00102B85"/>
    <w:rsid w:val="00102E04"/>
    <w:rsid w:val="001034CA"/>
    <w:rsid w:val="001057A8"/>
    <w:rsid w:val="00107419"/>
    <w:rsid w:val="00107488"/>
    <w:rsid w:val="00107E75"/>
    <w:rsid w:val="001102C9"/>
    <w:rsid w:val="00110976"/>
    <w:rsid w:val="00110E56"/>
    <w:rsid w:val="00111C72"/>
    <w:rsid w:val="001121DC"/>
    <w:rsid w:val="00113AE1"/>
    <w:rsid w:val="00113F8E"/>
    <w:rsid w:val="0011463B"/>
    <w:rsid w:val="00120DC5"/>
    <w:rsid w:val="00121983"/>
    <w:rsid w:val="001230AF"/>
    <w:rsid w:val="001244EF"/>
    <w:rsid w:val="001245F5"/>
    <w:rsid w:val="001258DE"/>
    <w:rsid w:val="0012795C"/>
    <w:rsid w:val="00127FD6"/>
    <w:rsid w:val="00130FF0"/>
    <w:rsid w:val="00131624"/>
    <w:rsid w:val="0013640B"/>
    <w:rsid w:val="0014018B"/>
    <w:rsid w:val="0014298B"/>
    <w:rsid w:val="0014468F"/>
    <w:rsid w:val="00145330"/>
    <w:rsid w:val="001476C6"/>
    <w:rsid w:val="00147DEF"/>
    <w:rsid w:val="001520F0"/>
    <w:rsid w:val="00155AD3"/>
    <w:rsid w:val="00156424"/>
    <w:rsid w:val="001564FB"/>
    <w:rsid w:val="0016150D"/>
    <w:rsid w:val="00161C21"/>
    <w:rsid w:val="001652EB"/>
    <w:rsid w:val="00165B24"/>
    <w:rsid w:val="00171DB3"/>
    <w:rsid w:val="0017347C"/>
    <w:rsid w:val="00173AFF"/>
    <w:rsid w:val="00173ED7"/>
    <w:rsid w:val="00174E1D"/>
    <w:rsid w:val="00180B45"/>
    <w:rsid w:val="001826EB"/>
    <w:rsid w:val="00182884"/>
    <w:rsid w:val="00190C0E"/>
    <w:rsid w:val="0019513C"/>
    <w:rsid w:val="001954F0"/>
    <w:rsid w:val="00195AB7"/>
    <w:rsid w:val="001A1285"/>
    <w:rsid w:val="001B3E89"/>
    <w:rsid w:val="001B3EC7"/>
    <w:rsid w:val="001B4454"/>
    <w:rsid w:val="001B7479"/>
    <w:rsid w:val="001C0C7C"/>
    <w:rsid w:val="001C153D"/>
    <w:rsid w:val="001C3839"/>
    <w:rsid w:val="001C6545"/>
    <w:rsid w:val="001C6981"/>
    <w:rsid w:val="001D168D"/>
    <w:rsid w:val="001D1EB0"/>
    <w:rsid w:val="001D5850"/>
    <w:rsid w:val="001E0113"/>
    <w:rsid w:val="001E21B5"/>
    <w:rsid w:val="001E43EA"/>
    <w:rsid w:val="001E4EB7"/>
    <w:rsid w:val="001E6BA7"/>
    <w:rsid w:val="001E7F7D"/>
    <w:rsid w:val="0020324B"/>
    <w:rsid w:val="00203A5B"/>
    <w:rsid w:val="00205215"/>
    <w:rsid w:val="0021173C"/>
    <w:rsid w:val="002128D5"/>
    <w:rsid w:val="00213602"/>
    <w:rsid w:val="00213A6E"/>
    <w:rsid w:val="00215B00"/>
    <w:rsid w:val="0021742E"/>
    <w:rsid w:val="002204E9"/>
    <w:rsid w:val="00223D6E"/>
    <w:rsid w:val="00225696"/>
    <w:rsid w:val="00226D36"/>
    <w:rsid w:val="0022773A"/>
    <w:rsid w:val="00230BDB"/>
    <w:rsid w:val="00230C8C"/>
    <w:rsid w:val="00232E3E"/>
    <w:rsid w:val="002338F2"/>
    <w:rsid w:val="00233C03"/>
    <w:rsid w:val="0023470F"/>
    <w:rsid w:val="00234B63"/>
    <w:rsid w:val="00234BB3"/>
    <w:rsid w:val="0023563E"/>
    <w:rsid w:val="00236CAE"/>
    <w:rsid w:val="00240865"/>
    <w:rsid w:val="00243568"/>
    <w:rsid w:val="0024382A"/>
    <w:rsid w:val="00244C9C"/>
    <w:rsid w:val="0024664D"/>
    <w:rsid w:val="002466E8"/>
    <w:rsid w:val="002516DA"/>
    <w:rsid w:val="00252B06"/>
    <w:rsid w:val="00254697"/>
    <w:rsid w:val="00256ADA"/>
    <w:rsid w:val="00256E99"/>
    <w:rsid w:val="002577D1"/>
    <w:rsid w:val="002609CA"/>
    <w:rsid w:val="002610E9"/>
    <w:rsid w:val="002631A4"/>
    <w:rsid w:val="00263275"/>
    <w:rsid w:val="00266953"/>
    <w:rsid w:val="002700BC"/>
    <w:rsid w:val="00273D64"/>
    <w:rsid w:val="00274427"/>
    <w:rsid w:val="00276A1E"/>
    <w:rsid w:val="002810E0"/>
    <w:rsid w:val="002819F3"/>
    <w:rsid w:val="00290E74"/>
    <w:rsid w:val="002949CF"/>
    <w:rsid w:val="002A0125"/>
    <w:rsid w:val="002A136B"/>
    <w:rsid w:val="002B2709"/>
    <w:rsid w:val="002B4877"/>
    <w:rsid w:val="002B4F5E"/>
    <w:rsid w:val="002B5976"/>
    <w:rsid w:val="002B5D71"/>
    <w:rsid w:val="002B6B9F"/>
    <w:rsid w:val="002C18B2"/>
    <w:rsid w:val="002C472F"/>
    <w:rsid w:val="002C5688"/>
    <w:rsid w:val="002C589B"/>
    <w:rsid w:val="002D3783"/>
    <w:rsid w:val="002D4CF6"/>
    <w:rsid w:val="002D5D8C"/>
    <w:rsid w:val="002E3044"/>
    <w:rsid w:val="002E593D"/>
    <w:rsid w:val="002E7A1A"/>
    <w:rsid w:val="002E7B26"/>
    <w:rsid w:val="002F2785"/>
    <w:rsid w:val="002F379F"/>
    <w:rsid w:val="002F3C31"/>
    <w:rsid w:val="002F428E"/>
    <w:rsid w:val="002F56F8"/>
    <w:rsid w:val="00301B03"/>
    <w:rsid w:val="00301C9C"/>
    <w:rsid w:val="00305631"/>
    <w:rsid w:val="00305CBF"/>
    <w:rsid w:val="00306589"/>
    <w:rsid w:val="00311DCD"/>
    <w:rsid w:val="00313B03"/>
    <w:rsid w:val="00316360"/>
    <w:rsid w:val="00321706"/>
    <w:rsid w:val="003234D7"/>
    <w:rsid w:val="003247DE"/>
    <w:rsid w:val="00326EEE"/>
    <w:rsid w:val="00326FAB"/>
    <w:rsid w:val="00327C8A"/>
    <w:rsid w:val="003304EB"/>
    <w:rsid w:val="0033061A"/>
    <w:rsid w:val="00332543"/>
    <w:rsid w:val="00333DE4"/>
    <w:rsid w:val="0033618E"/>
    <w:rsid w:val="00336BEF"/>
    <w:rsid w:val="00344EE2"/>
    <w:rsid w:val="003472A6"/>
    <w:rsid w:val="0035192F"/>
    <w:rsid w:val="00355148"/>
    <w:rsid w:val="00355A61"/>
    <w:rsid w:val="00356B0E"/>
    <w:rsid w:val="00356FBA"/>
    <w:rsid w:val="00366EFE"/>
    <w:rsid w:val="00375752"/>
    <w:rsid w:val="00382B2F"/>
    <w:rsid w:val="0038503F"/>
    <w:rsid w:val="0038596D"/>
    <w:rsid w:val="00386A14"/>
    <w:rsid w:val="00391095"/>
    <w:rsid w:val="00392BA4"/>
    <w:rsid w:val="0039472D"/>
    <w:rsid w:val="00396036"/>
    <w:rsid w:val="0039633E"/>
    <w:rsid w:val="003A2612"/>
    <w:rsid w:val="003A2620"/>
    <w:rsid w:val="003A2F46"/>
    <w:rsid w:val="003A44EC"/>
    <w:rsid w:val="003A58D3"/>
    <w:rsid w:val="003A7C30"/>
    <w:rsid w:val="003B0524"/>
    <w:rsid w:val="003B18BD"/>
    <w:rsid w:val="003B2527"/>
    <w:rsid w:val="003B364E"/>
    <w:rsid w:val="003B6CD5"/>
    <w:rsid w:val="003C0458"/>
    <w:rsid w:val="003C3DBD"/>
    <w:rsid w:val="003C42A1"/>
    <w:rsid w:val="003C42E8"/>
    <w:rsid w:val="003C4653"/>
    <w:rsid w:val="003C6B7E"/>
    <w:rsid w:val="003D45F9"/>
    <w:rsid w:val="003D4B6B"/>
    <w:rsid w:val="003E06F2"/>
    <w:rsid w:val="003E1928"/>
    <w:rsid w:val="003E3C34"/>
    <w:rsid w:val="003E3F4C"/>
    <w:rsid w:val="003E42B3"/>
    <w:rsid w:val="003E5807"/>
    <w:rsid w:val="003E6600"/>
    <w:rsid w:val="003E67AB"/>
    <w:rsid w:val="003E6E3B"/>
    <w:rsid w:val="003F14CC"/>
    <w:rsid w:val="003F703C"/>
    <w:rsid w:val="003F7055"/>
    <w:rsid w:val="00400067"/>
    <w:rsid w:val="004007BD"/>
    <w:rsid w:val="004013BD"/>
    <w:rsid w:val="0040218E"/>
    <w:rsid w:val="00404530"/>
    <w:rsid w:val="00411A47"/>
    <w:rsid w:val="00412319"/>
    <w:rsid w:val="0041497A"/>
    <w:rsid w:val="0041739D"/>
    <w:rsid w:val="0042204F"/>
    <w:rsid w:val="004263AF"/>
    <w:rsid w:val="00432F75"/>
    <w:rsid w:val="00435ABE"/>
    <w:rsid w:val="0043618D"/>
    <w:rsid w:val="00436EFB"/>
    <w:rsid w:val="00441292"/>
    <w:rsid w:val="0044139C"/>
    <w:rsid w:val="00442E5A"/>
    <w:rsid w:val="0044377E"/>
    <w:rsid w:val="0044647D"/>
    <w:rsid w:val="004479E5"/>
    <w:rsid w:val="00452B29"/>
    <w:rsid w:val="00453C7F"/>
    <w:rsid w:val="00456D83"/>
    <w:rsid w:val="00457175"/>
    <w:rsid w:val="004576BF"/>
    <w:rsid w:val="0046281B"/>
    <w:rsid w:val="00463D4A"/>
    <w:rsid w:val="00463EB4"/>
    <w:rsid w:val="004652A4"/>
    <w:rsid w:val="00467296"/>
    <w:rsid w:val="0047335A"/>
    <w:rsid w:val="0048002C"/>
    <w:rsid w:val="00480165"/>
    <w:rsid w:val="00481266"/>
    <w:rsid w:val="004872A5"/>
    <w:rsid w:val="004931DB"/>
    <w:rsid w:val="0049366C"/>
    <w:rsid w:val="004946DA"/>
    <w:rsid w:val="004958A5"/>
    <w:rsid w:val="004A11D9"/>
    <w:rsid w:val="004A1477"/>
    <w:rsid w:val="004A1954"/>
    <w:rsid w:val="004A4561"/>
    <w:rsid w:val="004A638A"/>
    <w:rsid w:val="004A67B1"/>
    <w:rsid w:val="004B0158"/>
    <w:rsid w:val="004B08A1"/>
    <w:rsid w:val="004B2023"/>
    <w:rsid w:val="004B3866"/>
    <w:rsid w:val="004B4D2D"/>
    <w:rsid w:val="004B54DF"/>
    <w:rsid w:val="004B552E"/>
    <w:rsid w:val="004B5F8E"/>
    <w:rsid w:val="004B6BBC"/>
    <w:rsid w:val="004B7B4F"/>
    <w:rsid w:val="004B7F01"/>
    <w:rsid w:val="004C11E2"/>
    <w:rsid w:val="004C18F8"/>
    <w:rsid w:val="004C21B2"/>
    <w:rsid w:val="004C3793"/>
    <w:rsid w:val="004C527F"/>
    <w:rsid w:val="004D012B"/>
    <w:rsid w:val="004D0607"/>
    <w:rsid w:val="004D182D"/>
    <w:rsid w:val="004D2DBA"/>
    <w:rsid w:val="004D401D"/>
    <w:rsid w:val="004D4930"/>
    <w:rsid w:val="004D6BAD"/>
    <w:rsid w:val="004E0AE7"/>
    <w:rsid w:val="004E17DF"/>
    <w:rsid w:val="004E266D"/>
    <w:rsid w:val="004E3924"/>
    <w:rsid w:val="004E4384"/>
    <w:rsid w:val="004E5ADD"/>
    <w:rsid w:val="004E744D"/>
    <w:rsid w:val="004F21F3"/>
    <w:rsid w:val="004F2649"/>
    <w:rsid w:val="004F2B62"/>
    <w:rsid w:val="004F310F"/>
    <w:rsid w:val="004F4876"/>
    <w:rsid w:val="004F4A78"/>
    <w:rsid w:val="004F54B8"/>
    <w:rsid w:val="004F62B6"/>
    <w:rsid w:val="004F6E12"/>
    <w:rsid w:val="00502BD3"/>
    <w:rsid w:val="00506026"/>
    <w:rsid w:val="005062DF"/>
    <w:rsid w:val="0050793F"/>
    <w:rsid w:val="00510964"/>
    <w:rsid w:val="00512625"/>
    <w:rsid w:val="00512969"/>
    <w:rsid w:val="0051577A"/>
    <w:rsid w:val="005169A6"/>
    <w:rsid w:val="00521AE2"/>
    <w:rsid w:val="0052332D"/>
    <w:rsid w:val="005271E4"/>
    <w:rsid w:val="005274F5"/>
    <w:rsid w:val="005301CD"/>
    <w:rsid w:val="0053352E"/>
    <w:rsid w:val="005335B1"/>
    <w:rsid w:val="00533AAA"/>
    <w:rsid w:val="005361F9"/>
    <w:rsid w:val="00541130"/>
    <w:rsid w:val="00544D5F"/>
    <w:rsid w:val="005452E1"/>
    <w:rsid w:val="00545BC6"/>
    <w:rsid w:val="0054669F"/>
    <w:rsid w:val="0055116B"/>
    <w:rsid w:val="00556B12"/>
    <w:rsid w:val="00557A39"/>
    <w:rsid w:val="005605E2"/>
    <w:rsid w:val="00561598"/>
    <w:rsid w:val="00561CCF"/>
    <w:rsid w:val="00563118"/>
    <w:rsid w:val="00563A34"/>
    <w:rsid w:val="00564996"/>
    <w:rsid w:val="00565919"/>
    <w:rsid w:val="005666E4"/>
    <w:rsid w:val="00571BAF"/>
    <w:rsid w:val="00573BE6"/>
    <w:rsid w:val="00574802"/>
    <w:rsid w:val="00580A64"/>
    <w:rsid w:val="00581411"/>
    <w:rsid w:val="00581CBD"/>
    <w:rsid w:val="00582739"/>
    <w:rsid w:val="00582EA5"/>
    <w:rsid w:val="00583A73"/>
    <w:rsid w:val="00591F3B"/>
    <w:rsid w:val="005943A0"/>
    <w:rsid w:val="00596A18"/>
    <w:rsid w:val="00596F4C"/>
    <w:rsid w:val="005A16B2"/>
    <w:rsid w:val="005A57A4"/>
    <w:rsid w:val="005B0413"/>
    <w:rsid w:val="005B5AFC"/>
    <w:rsid w:val="005B6A77"/>
    <w:rsid w:val="005B70D3"/>
    <w:rsid w:val="005B7DFD"/>
    <w:rsid w:val="005C071D"/>
    <w:rsid w:val="005C10E4"/>
    <w:rsid w:val="005C2B07"/>
    <w:rsid w:val="005C2D7F"/>
    <w:rsid w:val="005C4034"/>
    <w:rsid w:val="005C58EB"/>
    <w:rsid w:val="005C71C3"/>
    <w:rsid w:val="005C7659"/>
    <w:rsid w:val="005D16C2"/>
    <w:rsid w:val="005D1893"/>
    <w:rsid w:val="005D3E45"/>
    <w:rsid w:val="005E19CF"/>
    <w:rsid w:val="005E241D"/>
    <w:rsid w:val="005E274A"/>
    <w:rsid w:val="005E3DE6"/>
    <w:rsid w:val="005E6D44"/>
    <w:rsid w:val="005E7BFF"/>
    <w:rsid w:val="005F02DD"/>
    <w:rsid w:val="005F1AC5"/>
    <w:rsid w:val="005F28C1"/>
    <w:rsid w:val="005F37EB"/>
    <w:rsid w:val="005F408E"/>
    <w:rsid w:val="005F62A6"/>
    <w:rsid w:val="005F63F3"/>
    <w:rsid w:val="005F7FA3"/>
    <w:rsid w:val="006010DA"/>
    <w:rsid w:val="0060162F"/>
    <w:rsid w:val="006026DA"/>
    <w:rsid w:val="00603EBB"/>
    <w:rsid w:val="00606DB9"/>
    <w:rsid w:val="006105C6"/>
    <w:rsid w:val="0061177E"/>
    <w:rsid w:val="00611CF0"/>
    <w:rsid w:val="00620714"/>
    <w:rsid w:val="00623283"/>
    <w:rsid w:val="006258F8"/>
    <w:rsid w:val="00626DB8"/>
    <w:rsid w:val="00627E99"/>
    <w:rsid w:val="00630A0F"/>
    <w:rsid w:val="00634ED1"/>
    <w:rsid w:val="006351F0"/>
    <w:rsid w:val="00635326"/>
    <w:rsid w:val="00637A51"/>
    <w:rsid w:val="00641420"/>
    <w:rsid w:val="00641C1F"/>
    <w:rsid w:val="00642383"/>
    <w:rsid w:val="0065234A"/>
    <w:rsid w:val="00657302"/>
    <w:rsid w:val="00666005"/>
    <w:rsid w:val="0067119B"/>
    <w:rsid w:val="0067192E"/>
    <w:rsid w:val="00675D41"/>
    <w:rsid w:val="00677A51"/>
    <w:rsid w:val="006823C3"/>
    <w:rsid w:val="00686DED"/>
    <w:rsid w:val="00692DC1"/>
    <w:rsid w:val="00696BAA"/>
    <w:rsid w:val="006A2A25"/>
    <w:rsid w:val="006A3853"/>
    <w:rsid w:val="006A44B2"/>
    <w:rsid w:val="006A52E4"/>
    <w:rsid w:val="006A53BA"/>
    <w:rsid w:val="006A6AE8"/>
    <w:rsid w:val="006A7E8E"/>
    <w:rsid w:val="006B13B5"/>
    <w:rsid w:val="006B3992"/>
    <w:rsid w:val="006B3BDE"/>
    <w:rsid w:val="006B4DB8"/>
    <w:rsid w:val="006B7338"/>
    <w:rsid w:val="006B7517"/>
    <w:rsid w:val="006C078D"/>
    <w:rsid w:val="006C0CB0"/>
    <w:rsid w:val="006C6A44"/>
    <w:rsid w:val="006C70DB"/>
    <w:rsid w:val="006C7250"/>
    <w:rsid w:val="006C7723"/>
    <w:rsid w:val="006D0CAA"/>
    <w:rsid w:val="006D4ED8"/>
    <w:rsid w:val="006E05AC"/>
    <w:rsid w:val="006E1333"/>
    <w:rsid w:val="006E559B"/>
    <w:rsid w:val="006E627C"/>
    <w:rsid w:val="006E6BA4"/>
    <w:rsid w:val="006E7AF4"/>
    <w:rsid w:val="006F2173"/>
    <w:rsid w:val="006F22F3"/>
    <w:rsid w:val="006F24E9"/>
    <w:rsid w:val="006F35D2"/>
    <w:rsid w:val="006F5C0F"/>
    <w:rsid w:val="006F608C"/>
    <w:rsid w:val="00700B0B"/>
    <w:rsid w:val="007011F2"/>
    <w:rsid w:val="00702307"/>
    <w:rsid w:val="00704CFF"/>
    <w:rsid w:val="00706103"/>
    <w:rsid w:val="00706B34"/>
    <w:rsid w:val="00707487"/>
    <w:rsid w:val="0071018C"/>
    <w:rsid w:val="00712159"/>
    <w:rsid w:val="007204BD"/>
    <w:rsid w:val="00730375"/>
    <w:rsid w:val="0073113A"/>
    <w:rsid w:val="007322D6"/>
    <w:rsid w:val="00733B39"/>
    <w:rsid w:val="0073422F"/>
    <w:rsid w:val="00737F62"/>
    <w:rsid w:val="00741077"/>
    <w:rsid w:val="00744489"/>
    <w:rsid w:val="00746966"/>
    <w:rsid w:val="00750E3E"/>
    <w:rsid w:val="00750E8A"/>
    <w:rsid w:val="007531F1"/>
    <w:rsid w:val="00762723"/>
    <w:rsid w:val="00763C2B"/>
    <w:rsid w:val="0076456A"/>
    <w:rsid w:val="00766E3A"/>
    <w:rsid w:val="007726AD"/>
    <w:rsid w:val="007748B0"/>
    <w:rsid w:val="0077626A"/>
    <w:rsid w:val="0077628B"/>
    <w:rsid w:val="00780774"/>
    <w:rsid w:val="007832DB"/>
    <w:rsid w:val="00784B32"/>
    <w:rsid w:val="0078503C"/>
    <w:rsid w:val="00785E52"/>
    <w:rsid w:val="0078713D"/>
    <w:rsid w:val="00790174"/>
    <w:rsid w:val="00794B54"/>
    <w:rsid w:val="007A190F"/>
    <w:rsid w:val="007A2ACB"/>
    <w:rsid w:val="007A2CAD"/>
    <w:rsid w:val="007A551E"/>
    <w:rsid w:val="007A61F0"/>
    <w:rsid w:val="007B0D83"/>
    <w:rsid w:val="007B4DA6"/>
    <w:rsid w:val="007C1EA8"/>
    <w:rsid w:val="007C2AE2"/>
    <w:rsid w:val="007C2B6B"/>
    <w:rsid w:val="007C2F91"/>
    <w:rsid w:val="007C6B88"/>
    <w:rsid w:val="007C782F"/>
    <w:rsid w:val="007D1810"/>
    <w:rsid w:val="007D1AFF"/>
    <w:rsid w:val="007D41B7"/>
    <w:rsid w:val="007D4AF9"/>
    <w:rsid w:val="007D5833"/>
    <w:rsid w:val="007D6100"/>
    <w:rsid w:val="007D757B"/>
    <w:rsid w:val="007D7C48"/>
    <w:rsid w:val="007E2BD1"/>
    <w:rsid w:val="007E3FD2"/>
    <w:rsid w:val="007E4376"/>
    <w:rsid w:val="007E6E68"/>
    <w:rsid w:val="007F0B50"/>
    <w:rsid w:val="007F1EB5"/>
    <w:rsid w:val="007F4495"/>
    <w:rsid w:val="007F4BED"/>
    <w:rsid w:val="007F5C11"/>
    <w:rsid w:val="007F63EA"/>
    <w:rsid w:val="007F7590"/>
    <w:rsid w:val="00800622"/>
    <w:rsid w:val="00800F62"/>
    <w:rsid w:val="008167FC"/>
    <w:rsid w:val="008168AB"/>
    <w:rsid w:val="008174D7"/>
    <w:rsid w:val="0082022E"/>
    <w:rsid w:val="00822AE7"/>
    <w:rsid w:val="00822FF7"/>
    <w:rsid w:val="0082499A"/>
    <w:rsid w:val="00826350"/>
    <w:rsid w:val="00826A31"/>
    <w:rsid w:val="00826FCC"/>
    <w:rsid w:val="008323A0"/>
    <w:rsid w:val="00833928"/>
    <w:rsid w:val="008340E5"/>
    <w:rsid w:val="00841292"/>
    <w:rsid w:val="00846BE3"/>
    <w:rsid w:val="00847EDD"/>
    <w:rsid w:val="00851FBE"/>
    <w:rsid w:val="008523E9"/>
    <w:rsid w:val="00854193"/>
    <w:rsid w:val="00862E3C"/>
    <w:rsid w:val="00864A2E"/>
    <w:rsid w:val="00865950"/>
    <w:rsid w:val="008669CB"/>
    <w:rsid w:val="00870CB1"/>
    <w:rsid w:val="00872673"/>
    <w:rsid w:val="00874931"/>
    <w:rsid w:val="008757C4"/>
    <w:rsid w:val="0087659E"/>
    <w:rsid w:val="0087679A"/>
    <w:rsid w:val="00876A77"/>
    <w:rsid w:val="00876E67"/>
    <w:rsid w:val="00877D0B"/>
    <w:rsid w:val="00883BE0"/>
    <w:rsid w:val="00884945"/>
    <w:rsid w:val="00884EDB"/>
    <w:rsid w:val="00885181"/>
    <w:rsid w:val="00885254"/>
    <w:rsid w:val="00892087"/>
    <w:rsid w:val="008946E5"/>
    <w:rsid w:val="008948E0"/>
    <w:rsid w:val="008A0D34"/>
    <w:rsid w:val="008A1AD5"/>
    <w:rsid w:val="008A24C5"/>
    <w:rsid w:val="008A57BC"/>
    <w:rsid w:val="008B1E0E"/>
    <w:rsid w:val="008B1F76"/>
    <w:rsid w:val="008B2204"/>
    <w:rsid w:val="008B38B4"/>
    <w:rsid w:val="008B7FA0"/>
    <w:rsid w:val="008C1A3D"/>
    <w:rsid w:val="008C1E7B"/>
    <w:rsid w:val="008C3B72"/>
    <w:rsid w:val="008C3DF7"/>
    <w:rsid w:val="008C44B8"/>
    <w:rsid w:val="008C568E"/>
    <w:rsid w:val="008D2A53"/>
    <w:rsid w:val="008D2C6D"/>
    <w:rsid w:val="008E0041"/>
    <w:rsid w:val="008E4E6E"/>
    <w:rsid w:val="008E54DD"/>
    <w:rsid w:val="008E6658"/>
    <w:rsid w:val="008E7C8A"/>
    <w:rsid w:val="008F17CC"/>
    <w:rsid w:val="008F41B1"/>
    <w:rsid w:val="0090049D"/>
    <w:rsid w:val="00900A55"/>
    <w:rsid w:val="009010D7"/>
    <w:rsid w:val="00901CDC"/>
    <w:rsid w:val="00901DE2"/>
    <w:rsid w:val="00902365"/>
    <w:rsid w:val="00902EBF"/>
    <w:rsid w:val="00904BEC"/>
    <w:rsid w:val="009059DA"/>
    <w:rsid w:val="0091095C"/>
    <w:rsid w:val="00926EFD"/>
    <w:rsid w:val="00930C23"/>
    <w:rsid w:val="009324E6"/>
    <w:rsid w:val="00933357"/>
    <w:rsid w:val="00933BE4"/>
    <w:rsid w:val="00934765"/>
    <w:rsid w:val="00935F76"/>
    <w:rsid w:val="00937434"/>
    <w:rsid w:val="00940DEA"/>
    <w:rsid w:val="00945D7A"/>
    <w:rsid w:val="0094681F"/>
    <w:rsid w:val="00953B72"/>
    <w:rsid w:val="00956986"/>
    <w:rsid w:val="00956C49"/>
    <w:rsid w:val="009625D1"/>
    <w:rsid w:val="009645B3"/>
    <w:rsid w:val="009671ED"/>
    <w:rsid w:val="00967DDA"/>
    <w:rsid w:val="00970967"/>
    <w:rsid w:val="00974A22"/>
    <w:rsid w:val="00982FC2"/>
    <w:rsid w:val="00983123"/>
    <w:rsid w:val="00986CDD"/>
    <w:rsid w:val="00991B80"/>
    <w:rsid w:val="00993972"/>
    <w:rsid w:val="009954BC"/>
    <w:rsid w:val="00996365"/>
    <w:rsid w:val="00997461"/>
    <w:rsid w:val="009A0259"/>
    <w:rsid w:val="009A300F"/>
    <w:rsid w:val="009A306E"/>
    <w:rsid w:val="009A6C78"/>
    <w:rsid w:val="009B4B39"/>
    <w:rsid w:val="009B4C18"/>
    <w:rsid w:val="009B7346"/>
    <w:rsid w:val="009B75ED"/>
    <w:rsid w:val="009C0DD8"/>
    <w:rsid w:val="009C1D18"/>
    <w:rsid w:val="009C2D35"/>
    <w:rsid w:val="009C2E9C"/>
    <w:rsid w:val="009C4466"/>
    <w:rsid w:val="009C712F"/>
    <w:rsid w:val="009D28E8"/>
    <w:rsid w:val="009D2D20"/>
    <w:rsid w:val="009D64A2"/>
    <w:rsid w:val="009D78D2"/>
    <w:rsid w:val="009E0200"/>
    <w:rsid w:val="009E35C5"/>
    <w:rsid w:val="009E4CF4"/>
    <w:rsid w:val="009E6CE2"/>
    <w:rsid w:val="009F3500"/>
    <w:rsid w:val="009F5B08"/>
    <w:rsid w:val="009F70D5"/>
    <w:rsid w:val="00A01C8B"/>
    <w:rsid w:val="00A026A9"/>
    <w:rsid w:val="00A04003"/>
    <w:rsid w:val="00A0546E"/>
    <w:rsid w:val="00A05F20"/>
    <w:rsid w:val="00A10B37"/>
    <w:rsid w:val="00A1165E"/>
    <w:rsid w:val="00A16076"/>
    <w:rsid w:val="00A1690E"/>
    <w:rsid w:val="00A20D67"/>
    <w:rsid w:val="00A24A95"/>
    <w:rsid w:val="00A373A4"/>
    <w:rsid w:val="00A40D1D"/>
    <w:rsid w:val="00A46980"/>
    <w:rsid w:val="00A512AB"/>
    <w:rsid w:val="00A5212F"/>
    <w:rsid w:val="00A54D54"/>
    <w:rsid w:val="00A55FC8"/>
    <w:rsid w:val="00A56D40"/>
    <w:rsid w:val="00A61745"/>
    <w:rsid w:val="00A62452"/>
    <w:rsid w:val="00A64476"/>
    <w:rsid w:val="00A6552A"/>
    <w:rsid w:val="00A65F5B"/>
    <w:rsid w:val="00A67994"/>
    <w:rsid w:val="00A73832"/>
    <w:rsid w:val="00A7556A"/>
    <w:rsid w:val="00A81334"/>
    <w:rsid w:val="00A84F98"/>
    <w:rsid w:val="00A855CC"/>
    <w:rsid w:val="00A85DAF"/>
    <w:rsid w:val="00A8634D"/>
    <w:rsid w:val="00A86356"/>
    <w:rsid w:val="00A86542"/>
    <w:rsid w:val="00A927ED"/>
    <w:rsid w:val="00A939A3"/>
    <w:rsid w:val="00A96C34"/>
    <w:rsid w:val="00AA0030"/>
    <w:rsid w:val="00AA0257"/>
    <w:rsid w:val="00AA044C"/>
    <w:rsid w:val="00AA3A10"/>
    <w:rsid w:val="00AA4AEB"/>
    <w:rsid w:val="00AB2489"/>
    <w:rsid w:val="00AB2C63"/>
    <w:rsid w:val="00AB44BD"/>
    <w:rsid w:val="00AC18E5"/>
    <w:rsid w:val="00AC2005"/>
    <w:rsid w:val="00AC43D9"/>
    <w:rsid w:val="00AC7826"/>
    <w:rsid w:val="00AD2E5F"/>
    <w:rsid w:val="00AD5DE1"/>
    <w:rsid w:val="00AD7DB6"/>
    <w:rsid w:val="00AE1DCE"/>
    <w:rsid w:val="00AE42A3"/>
    <w:rsid w:val="00AE448A"/>
    <w:rsid w:val="00AE57F9"/>
    <w:rsid w:val="00AF1BF7"/>
    <w:rsid w:val="00AF30B7"/>
    <w:rsid w:val="00AF65FF"/>
    <w:rsid w:val="00B0025F"/>
    <w:rsid w:val="00B00BF7"/>
    <w:rsid w:val="00B101A3"/>
    <w:rsid w:val="00B10C19"/>
    <w:rsid w:val="00B13833"/>
    <w:rsid w:val="00B15980"/>
    <w:rsid w:val="00B16DAF"/>
    <w:rsid w:val="00B2200A"/>
    <w:rsid w:val="00B23317"/>
    <w:rsid w:val="00B23AAE"/>
    <w:rsid w:val="00B23ADC"/>
    <w:rsid w:val="00B24562"/>
    <w:rsid w:val="00B25E9E"/>
    <w:rsid w:val="00B32C91"/>
    <w:rsid w:val="00B332CB"/>
    <w:rsid w:val="00B34BB8"/>
    <w:rsid w:val="00B35A26"/>
    <w:rsid w:val="00B35F46"/>
    <w:rsid w:val="00B36B5E"/>
    <w:rsid w:val="00B4235F"/>
    <w:rsid w:val="00B42962"/>
    <w:rsid w:val="00B43D74"/>
    <w:rsid w:val="00B45A94"/>
    <w:rsid w:val="00B5515B"/>
    <w:rsid w:val="00B56E65"/>
    <w:rsid w:val="00B56F60"/>
    <w:rsid w:val="00B57A0E"/>
    <w:rsid w:val="00B60C1D"/>
    <w:rsid w:val="00B626D9"/>
    <w:rsid w:val="00B64573"/>
    <w:rsid w:val="00B64C2D"/>
    <w:rsid w:val="00B6598D"/>
    <w:rsid w:val="00B661C9"/>
    <w:rsid w:val="00B6696C"/>
    <w:rsid w:val="00B66ED5"/>
    <w:rsid w:val="00B71F78"/>
    <w:rsid w:val="00B7619A"/>
    <w:rsid w:val="00B76C18"/>
    <w:rsid w:val="00B81A1D"/>
    <w:rsid w:val="00B87D60"/>
    <w:rsid w:val="00B91BCC"/>
    <w:rsid w:val="00B967F5"/>
    <w:rsid w:val="00BA1168"/>
    <w:rsid w:val="00BA2A4A"/>
    <w:rsid w:val="00BA3D3B"/>
    <w:rsid w:val="00BA44C6"/>
    <w:rsid w:val="00BA5449"/>
    <w:rsid w:val="00BB14EA"/>
    <w:rsid w:val="00BB2DB5"/>
    <w:rsid w:val="00BB5EA2"/>
    <w:rsid w:val="00BB7EFE"/>
    <w:rsid w:val="00BC0246"/>
    <w:rsid w:val="00BC1D5B"/>
    <w:rsid w:val="00BC565B"/>
    <w:rsid w:val="00BC5F23"/>
    <w:rsid w:val="00BD0656"/>
    <w:rsid w:val="00BD271C"/>
    <w:rsid w:val="00BD27E1"/>
    <w:rsid w:val="00BD45B4"/>
    <w:rsid w:val="00BE0489"/>
    <w:rsid w:val="00BE2BB2"/>
    <w:rsid w:val="00BE3FC3"/>
    <w:rsid w:val="00BF1699"/>
    <w:rsid w:val="00BF16E0"/>
    <w:rsid w:val="00BF599F"/>
    <w:rsid w:val="00BF64DA"/>
    <w:rsid w:val="00BF71F6"/>
    <w:rsid w:val="00C02F33"/>
    <w:rsid w:val="00C1050A"/>
    <w:rsid w:val="00C11AD5"/>
    <w:rsid w:val="00C139D7"/>
    <w:rsid w:val="00C13D19"/>
    <w:rsid w:val="00C149A4"/>
    <w:rsid w:val="00C15307"/>
    <w:rsid w:val="00C1673A"/>
    <w:rsid w:val="00C2084C"/>
    <w:rsid w:val="00C2098A"/>
    <w:rsid w:val="00C20B19"/>
    <w:rsid w:val="00C2185E"/>
    <w:rsid w:val="00C21CAD"/>
    <w:rsid w:val="00C24A78"/>
    <w:rsid w:val="00C276A7"/>
    <w:rsid w:val="00C27EF4"/>
    <w:rsid w:val="00C322FC"/>
    <w:rsid w:val="00C32340"/>
    <w:rsid w:val="00C33BA8"/>
    <w:rsid w:val="00C37F67"/>
    <w:rsid w:val="00C401C1"/>
    <w:rsid w:val="00C40717"/>
    <w:rsid w:val="00C42BE9"/>
    <w:rsid w:val="00C469B7"/>
    <w:rsid w:val="00C5156D"/>
    <w:rsid w:val="00C5495B"/>
    <w:rsid w:val="00C54F12"/>
    <w:rsid w:val="00C611D0"/>
    <w:rsid w:val="00C62E55"/>
    <w:rsid w:val="00C636E7"/>
    <w:rsid w:val="00C6531A"/>
    <w:rsid w:val="00C70B72"/>
    <w:rsid w:val="00C7135B"/>
    <w:rsid w:val="00C73114"/>
    <w:rsid w:val="00C7328A"/>
    <w:rsid w:val="00C743E7"/>
    <w:rsid w:val="00C7489D"/>
    <w:rsid w:val="00C7524D"/>
    <w:rsid w:val="00C818DE"/>
    <w:rsid w:val="00C840D6"/>
    <w:rsid w:val="00C84CE4"/>
    <w:rsid w:val="00C87125"/>
    <w:rsid w:val="00C91660"/>
    <w:rsid w:val="00C94B0F"/>
    <w:rsid w:val="00C9704D"/>
    <w:rsid w:val="00CA0C3D"/>
    <w:rsid w:val="00CA16B2"/>
    <w:rsid w:val="00CA1CEA"/>
    <w:rsid w:val="00CA399D"/>
    <w:rsid w:val="00CA3C63"/>
    <w:rsid w:val="00CB15EB"/>
    <w:rsid w:val="00CB41E3"/>
    <w:rsid w:val="00CB64C8"/>
    <w:rsid w:val="00CB6CC9"/>
    <w:rsid w:val="00CB7571"/>
    <w:rsid w:val="00CB76CC"/>
    <w:rsid w:val="00CC0917"/>
    <w:rsid w:val="00CC11DE"/>
    <w:rsid w:val="00CC12DE"/>
    <w:rsid w:val="00CC1BCB"/>
    <w:rsid w:val="00CC2991"/>
    <w:rsid w:val="00CC3D64"/>
    <w:rsid w:val="00CC50D3"/>
    <w:rsid w:val="00CD0070"/>
    <w:rsid w:val="00CD292E"/>
    <w:rsid w:val="00CD40C9"/>
    <w:rsid w:val="00CD4651"/>
    <w:rsid w:val="00CD6370"/>
    <w:rsid w:val="00CD6DB8"/>
    <w:rsid w:val="00CE0D4F"/>
    <w:rsid w:val="00CE71D1"/>
    <w:rsid w:val="00CE74AB"/>
    <w:rsid w:val="00CE787D"/>
    <w:rsid w:val="00CF20F9"/>
    <w:rsid w:val="00CF218C"/>
    <w:rsid w:val="00CF74C4"/>
    <w:rsid w:val="00CF7B81"/>
    <w:rsid w:val="00CF7E53"/>
    <w:rsid w:val="00D01305"/>
    <w:rsid w:val="00D02A56"/>
    <w:rsid w:val="00D04C9D"/>
    <w:rsid w:val="00D05B75"/>
    <w:rsid w:val="00D075D6"/>
    <w:rsid w:val="00D07991"/>
    <w:rsid w:val="00D13AB3"/>
    <w:rsid w:val="00D15453"/>
    <w:rsid w:val="00D15EDB"/>
    <w:rsid w:val="00D205F3"/>
    <w:rsid w:val="00D243E2"/>
    <w:rsid w:val="00D244D8"/>
    <w:rsid w:val="00D2544F"/>
    <w:rsid w:val="00D25A5F"/>
    <w:rsid w:val="00D32CB1"/>
    <w:rsid w:val="00D42776"/>
    <w:rsid w:val="00D44043"/>
    <w:rsid w:val="00D52EE5"/>
    <w:rsid w:val="00D52F1D"/>
    <w:rsid w:val="00D53C99"/>
    <w:rsid w:val="00D54C4E"/>
    <w:rsid w:val="00D55983"/>
    <w:rsid w:val="00D55B84"/>
    <w:rsid w:val="00D56843"/>
    <w:rsid w:val="00D5713A"/>
    <w:rsid w:val="00D57AFA"/>
    <w:rsid w:val="00D65867"/>
    <w:rsid w:val="00D6692A"/>
    <w:rsid w:val="00D66EB9"/>
    <w:rsid w:val="00D70879"/>
    <w:rsid w:val="00D70F3C"/>
    <w:rsid w:val="00D81C68"/>
    <w:rsid w:val="00D874E5"/>
    <w:rsid w:val="00D87E82"/>
    <w:rsid w:val="00D90FA8"/>
    <w:rsid w:val="00D91C1B"/>
    <w:rsid w:val="00D924C4"/>
    <w:rsid w:val="00DA14AE"/>
    <w:rsid w:val="00DA516C"/>
    <w:rsid w:val="00DA7C86"/>
    <w:rsid w:val="00DB146F"/>
    <w:rsid w:val="00DB16DA"/>
    <w:rsid w:val="00DB2C8B"/>
    <w:rsid w:val="00DB4FC5"/>
    <w:rsid w:val="00DC2E6A"/>
    <w:rsid w:val="00DC339C"/>
    <w:rsid w:val="00DC45E3"/>
    <w:rsid w:val="00DC4BE0"/>
    <w:rsid w:val="00DC743D"/>
    <w:rsid w:val="00DC74B9"/>
    <w:rsid w:val="00DD2344"/>
    <w:rsid w:val="00DD342C"/>
    <w:rsid w:val="00DD3605"/>
    <w:rsid w:val="00DE19BE"/>
    <w:rsid w:val="00DE3328"/>
    <w:rsid w:val="00DE432C"/>
    <w:rsid w:val="00DE4C70"/>
    <w:rsid w:val="00DE539A"/>
    <w:rsid w:val="00DE63F2"/>
    <w:rsid w:val="00DE69AD"/>
    <w:rsid w:val="00DE7685"/>
    <w:rsid w:val="00DF038B"/>
    <w:rsid w:val="00DF0B0A"/>
    <w:rsid w:val="00DF12FD"/>
    <w:rsid w:val="00DF4AD5"/>
    <w:rsid w:val="00DF4F34"/>
    <w:rsid w:val="00DF66E8"/>
    <w:rsid w:val="00DF6801"/>
    <w:rsid w:val="00E025E0"/>
    <w:rsid w:val="00E02EFC"/>
    <w:rsid w:val="00E0367D"/>
    <w:rsid w:val="00E0480A"/>
    <w:rsid w:val="00E115B3"/>
    <w:rsid w:val="00E11D29"/>
    <w:rsid w:val="00E13424"/>
    <w:rsid w:val="00E14A19"/>
    <w:rsid w:val="00E16E8E"/>
    <w:rsid w:val="00E2021A"/>
    <w:rsid w:val="00E20A45"/>
    <w:rsid w:val="00E220A9"/>
    <w:rsid w:val="00E24794"/>
    <w:rsid w:val="00E24BFF"/>
    <w:rsid w:val="00E2514D"/>
    <w:rsid w:val="00E25382"/>
    <w:rsid w:val="00E30487"/>
    <w:rsid w:val="00E307F1"/>
    <w:rsid w:val="00E346F7"/>
    <w:rsid w:val="00E35CEF"/>
    <w:rsid w:val="00E3719C"/>
    <w:rsid w:val="00E3767F"/>
    <w:rsid w:val="00E50AC3"/>
    <w:rsid w:val="00E51590"/>
    <w:rsid w:val="00E55859"/>
    <w:rsid w:val="00E562E1"/>
    <w:rsid w:val="00E56A82"/>
    <w:rsid w:val="00E56DEB"/>
    <w:rsid w:val="00E571C1"/>
    <w:rsid w:val="00E610E9"/>
    <w:rsid w:val="00E61310"/>
    <w:rsid w:val="00E654C9"/>
    <w:rsid w:val="00E665D5"/>
    <w:rsid w:val="00E66BC9"/>
    <w:rsid w:val="00E70E1F"/>
    <w:rsid w:val="00E714D6"/>
    <w:rsid w:val="00E721BB"/>
    <w:rsid w:val="00E73A43"/>
    <w:rsid w:val="00E74F17"/>
    <w:rsid w:val="00E75B3B"/>
    <w:rsid w:val="00E800C0"/>
    <w:rsid w:val="00E834D5"/>
    <w:rsid w:val="00E8786D"/>
    <w:rsid w:val="00E913EB"/>
    <w:rsid w:val="00E929F8"/>
    <w:rsid w:val="00E94091"/>
    <w:rsid w:val="00E943BF"/>
    <w:rsid w:val="00E94E78"/>
    <w:rsid w:val="00E95029"/>
    <w:rsid w:val="00E9659A"/>
    <w:rsid w:val="00E966B7"/>
    <w:rsid w:val="00E97577"/>
    <w:rsid w:val="00EA31EA"/>
    <w:rsid w:val="00EA57AC"/>
    <w:rsid w:val="00EB09A0"/>
    <w:rsid w:val="00EB0B76"/>
    <w:rsid w:val="00EB4624"/>
    <w:rsid w:val="00EB5A31"/>
    <w:rsid w:val="00EC3B55"/>
    <w:rsid w:val="00EC4746"/>
    <w:rsid w:val="00EC4EC0"/>
    <w:rsid w:val="00EC4F79"/>
    <w:rsid w:val="00ED1391"/>
    <w:rsid w:val="00ED2957"/>
    <w:rsid w:val="00ED5598"/>
    <w:rsid w:val="00ED5883"/>
    <w:rsid w:val="00ED68B8"/>
    <w:rsid w:val="00ED69EF"/>
    <w:rsid w:val="00EE635E"/>
    <w:rsid w:val="00EE73C9"/>
    <w:rsid w:val="00EF3E24"/>
    <w:rsid w:val="00EF6BD3"/>
    <w:rsid w:val="00EF6DDF"/>
    <w:rsid w:val="00F02FC1"/>
    <w:rsid w:val="00F035BA"/>
    <w:rsid w:val="00F05C92"/>
    <w:rsid w:val="00F071D9"/>
    <w:rsid w:val="00F10475"/>
    <w:rsid w:val="00F10B81"/>
    <w:rsid w:val="00F11545"/>
    <w:rsid w:val="00F12C96"/>
    <w:rsid w:val="00F13CDA"/>
    <w:rsid w:val="00F14EB7"/>
    <w:rsid w:val="00F1727B"/>
    <w:rsid w:val="00F227A5"/>
    <w:rsid w:val="00F2416D"/>
    <w:rsid w:val="00F2449E"/>
    <w:rsid w:val="00F24B71"/>
    <w:rsid w:val="00F31834"/>
    <w:rsid w:val="00F3245A"/>
    <w:rsid w:val="00F333F2"/>
    <w:rsid w:val="00F33678"/>
    <w:rsid w:val="00F33C06"/>
    <w:rsid w:val="00F35488"/>
    <w:rsid w:val="00F37569"/>
    <w:rsid w:val="00F37BA2"/>
    <w:rsid w:val="00F37E24"/>
    <w:rsid w:val="00F4468F"/>
    <w:rsid w:val="00F50635"/>
    <w:rsid w:val="00F513EA"/>
    <w:rsid w:val="00F53B93"/>
    <w:rsid w:val="00F5484E"/>
    <w:rsid w:val="00F554F4"/>
    <w:rsid w:val="00F579F1"/>
    <w:rsid w:val="00F6173C"/>
    <w:rsid w:val="00F62272"/>
    <w:rsid w:val="00F64B1E"/>
    <w:rsid w:val="00F66F11"/>
    <w:rsid w:val="00F71D42"/>
    <w:rsid w:val="00F71F3F"/>
    <w:rsid w:val="00F7663C"/>
    <w:rsid w:val="00F77F3F"/>
    <w:rsid w:val="00F801A0"/>
    <w:rsid w:val="00F81215"/>
    <w:rsid w:val="00F8223F"/>
    <w:rsid w:val="00F827B5"/>
    <w:rsid w:val="00F85F92"/>
    <w:rsid w:val="00F86959"/>
    <w:rsid w:val="00F942F9"/>
    <w:rsid w:val="00F94D8C"/>
    <w:rsid w:val="00F95B06"/>
    <w:rsid w:val="00FA1E7E"/>
    <w:rsid w:val="00FA749C"/>
    <w:rsid w:val="00FA77AD"/>
    <w:rsid w:val="00FB180D"/>
    <w:rsid w:val="00FB4126"/>
    <w:rsid w:val="00FC021A"/>
    <w:rsid w:val="00FC1314"/>
    <w:rsid w:val="00FC1B3A"/>
    <w:rsid w:val="00FC1B48"/>
    <w:rsid w:val="00FC3261"/>
    <w:rsid w:val="00FC3EF0"/>
    <w:rsid w:val="00FC5063"/>
    <w:rsid w:val="00FC6C8E"/>
    <w:rsid w:val="00FC6E9D"/>
    <w:rsid w:val="00FD2BF2"/>
    <w:rsid w:val="00FD31A8"/>
    <w:rsid w:val="00FD5D08"/>
    <w:rsid w:val="00FD7927"/>
    <w:rsid w:val="00FD7C39"/>
    <w:rsid w:val="00FE17DA"/>
    <w:rsid w:val="00FE20DE"/>
    <w:rsid w:val="00FE6D55"/>
    <w:rsid w:val="00FF11D5"/>
    <w:rsid w:val="00FF3BEC"/>
    <w:rsid w:val="00FF545A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78AF87"/>
  <w15:docId w15:val="{23FA77F7-83B4-430A-A4F9-30BCE7B4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C0C7C"/>
    <w:pPr>
      <w:keepNext/>
      <w:jc w:val="center"/>
      <w:outlineLvl w:val="7"/>
    </w:pPr>
    <w:rPr>
      <w:rFonts w:cs="Arial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CarCar">
    <w:name w:val="Car Car"/>
    <w:basedOn w:val="Normal"/>
    <w:rsid w:val="001C0C7C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BE3FC3"/>
    <w:rPr>
      <w:color w:val="0000FF"/>
      <w:u w:val="single"/>
    </w:rPr>
  </w:style>
  <w:style w:type="character" w:styleId="FollowedHyperlink">
    <w:name w:val="FollowedHyperlink"/>
    <w:rsid w:val="008323A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3719C"/>
    <w:pPr>
      <w:ind w:left="720"/>
      <w:contextualSpacing/>
    </w:pPr>
  </w:style>
  <w:style w:type="character" w:customStyle="1" w:styleId="algo-summary">
    <w:name w:val="algo-summary"/>
    <w:basedOn w:val="DefaultParagraphFont"/>
    <w:rsid w:val="009C4466"/>
  </w:style>
  <w:style w:type="paragraph" w:styleId="NoSpacing">
    <w:name w:val="No Spacing"/>
    <w:qFormat/>
    <w:rsid w:val="00AC2005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Obrazovanje\DD-60\DD-60%20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Obrazovanje\DD-60\DD-60%20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Obrazovanje\DD-60\DD-60%20grafiko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Obrazovanje\DD-60\DD-60%20grafiko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Obrazovanje\DD-60\DD-60%20grafikon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Obrazovanje\DD-60\DD-60%20grafiko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Sheet1!$H$3:$H$5</c:f>
              <c:strCache>
                <c:ptCount val="3"/>
                <c:pt idx="0">
                  <c:v>Managers, professionals, technicians and associate professionals</c:v>
                </c:pt>
                <c:pt idx="1">
                  <c:v>Clerical support workers, service and sales workers</c:v>
                </c:pt>
                <c:pt idx="2">
                  <c:v>Skilled manual workers</c:v>
                </c:pt>
              </c:strCache>
            </c:strRef>
          </c:cat>
          <c:val>
            <c:numRef>
              <c:f>Sheet1!$I$3:$I$5</c:f>
              <c:numCache>
                <c:formatCode>General</c:formatCode>
                <c:ptCount val="3"/>
                <c:pt idx="0">
                  <c:v>52.9</c:v>
                </c:pt>
                <c:pt idx="1">
                  <c:v>17.5</c:v>
                </c:pt>
                <c:pt idx="2">
                  <c:v>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CB-4F8E-819F-FBFE05F35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692480"/>
        <c:axId val="34850304"/>
      </c:barChart>
      <c:catAx>
        <c:axId val="34692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4850304"/>
        <c:crosses val="autoZero"/>
        <c:auto val="1"/>
        <c:lblAlgn val="ctr"/>
        <c:lblOffset val="100"/>
        <c:noMultiLvlLbl val="0"/>
      </c:catAx>
      <c:valAx>
        <c:axId val="34850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469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05555555555555"/>
          <c:y val="0.16898148148148148"/>
          <c:w val="0.46388888888888891"/>
          <c:h val="0.773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D5-4954-9467-42354C24C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D5-4954-9467-42354C24C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D5-4954-9467-42354C24C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D5-4954-9467-42354C24C4F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8788431-7869-443D-9109-52AFA980F72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8.2%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3D5-4954-9467-42354C24C4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B31D498-60C4-4E11-9596-120069943A4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24.3%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D5-4954-9467-42354C24C4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E279A57-B42C-419F-A057-6DCC728F218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67.4%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D5-4954-9467-42354C24C4FF}"/>
                </c:ext>
              </c:extLst>
            </c:dLbl>
            <c:dLbl>
              <c:idx val="3"/>
              <c:layout>
                <c:manualLayout>
                  <c:x val="-6.9444444444444448E-2"/>
                  <c:y val="0"/>
                </c:manualLayout>
              </c:layout>
              <c:tx>
                <c:rich>
                  <a:bodyPr/>
                  <a:lstStyle/>
                  <a:p>
                    <a:fld id="{7EEEEFF7-B3F2-47EB-B9FE-9CEBFF9D8E1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D5-4954-9467-42354C24C4F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Sheet1!$H$26:$H$29</c:f>
              <c:strCache>
                <c:ptCount val="4"/>
                <c:pt idx="0">
                  <c:v>Course</c:v>
                </c:pt>
                <c:pt idx="1">
                  <c:v>Workshop or seminar</c:v>
                </c:pt>
                <c:pt idx="2">
                  <c:v>Guided on the job training</c:v>
                </c:pt>
                <c:pt idx="3">
                  <c:v>Private lessons</c:v>
                </c:pt>
              </c:strCache>
            </c:strRef>
          </c:cat>
          <c:val>
            <c:numRef>
              <c:f>Sheet1!$I$26:$I$29</c:f>
              <c:numCache>
                <c:formatCode>0.0</c:formatCode>
                <c:ptCount val="4"/>
                <c:pt idx="0">
                  <c:v>8.2432343563900652</c:v>
                </c:pt>
                <c:pt idx="1">
                  <c:v>24.262787803208731</c:v>
                </c:pt>
                <c:pt idx="2">
                  <c:v>67.370490078355061</c:v>
                </c:pt>
                <c:pt idx="3">
                  <c:v>0.12348776204614595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D5-4954-9467-42354C24C4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442"/>
          <c:y val="5.0925925925925923E-2"/>
          <c:w val="0.4989851851851852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Sheet1!$H$56:$H$64</c:f>
              <c:strCache>
                <c:ptCount val="9"/>
                <c:pt idx="0">
                  <c:v>The training was too expensive</c:v>
                </c:pt>
                <c:pt idx="1">
                  <c:v>Lack of employer support </c:v>
                </c:pt>
                <c:pt idx="2">
                  <c:v>Overlap between the working hours and the time when the training was performed    </c:v>
                </c:pt>
                <c:pt idx="3">
                  <c:v>The location of the training was too far away</c:v>
                </c:pt>
                <c:pt idx="4">
                  <c:v>Family reasons</c:v>
                </c:pt>
                <c:pt idx="5">
                  <c:v>Health</c:v>
                </c:pt>
                <c:pt idx="6">
                  <c:v>Age</c:v>
                </c:pt>
                <c:pt idx="7">
                  <c:v>Other personal reasons</c:v>
                </c:pt>
                <c:pt idx="8">
                  <c:v>No suitable education or training activity (offer)</c:v>
                </c:pt>
              </c:strCache>
            </c:strRef>
          </c:cat>
          <c:val>
            <c:numRef>
              <c:f>Sheet1!$I$56:$I$64</c:f>
              <c:numCache>
                <c:formatCode>0.0</c:formatCode>
                <c:ptCount val="9"/>
                <c:pt idx="0">
                  <c:v>35.977020000000003</c:v>
                </c:pt>
                <c:pt idx="1">
                  <c:v>2.6398109999999999</c:v>
                </c:pt>
                <c:pt idx="2">
                  <c:v>14.275309999999999</c:v>
                </c:pt>
                <c:pt idx="3">
                  <c:v>3.8491240000000002</c:v>
                </c:pt>
                <c:pt idx="4">
                  <c:v>18.995429999999999</c:v>
                </c:pt>
                <c:pt idx="5">
                  <c:v>6.8952309999999999</c:v>
                </c:pt>
                <c:pt idx="6">
                  <c:v>1.205694</c:v>
                </c:pt>
                <c:pt idx="7">
                  <c:v>5.6125420000000004</c:v>
                </c:pt>
                <c:pt idx="8">
                  <c:v>10.54984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90-4383-9643-7ABE69DD4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2894848"/>
        <c:axId val="62896768"/>
      </c:barChart>
      <c:catAx>
        <c:axId val="62894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2896768"/>
        <c:crosses val="autoZero"/>
        <c:auto val="1"/>
        <c:lblAlgn val="ctr"/>
        <c:lblOffset val="100"/>
        <c:noMultiLvlLbl val="0"/>
      </c:catAx>
      <c:valAx>
        <c:axId val="62896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89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Sheet1!$H$91:$H$96</c:f>
              <c:strCache>
                <c:ptCount val="6"/>
                <c:pt idx="0">
                  <c:v>Learning from a family member, friend or colleague</c:v>
                </c:pt>
                <c:pt idx="1">
                  <c:v>Learning by using printed material</c:v>
                </c:pt>
                <c:pt idx="2">
                  <c:v>Learning by using computers</c:v>
                </c:pt>
                <c:pt idx="3">
                  <c:v>Learning through television/radio/video</c:v>
                </c:pt>
                <c:pt idx="4">
                  <c:v>Learning by guided tours of museums, historical/natural/industrial sites</c:v>
                </c:pt>
                <c:pt idx="5">
                  <c:v>Learning by visiting learning centres (including libraries)</c:v>
                </c:pt>
              </c:strCache>
            </c:strRef>
          </c:cat>
          <c:val>
            <c:numRef>
              <c:f>Sheet1!$I$91:$I$96</c:f>
              <c:numCache>
                <c:formatCode>General</c:formatCode>
                <c:ptCount val="6"/>
                <c:pt idx="0">
                  <c:v>63.6</c:v>
                </c:pt>
                <c:pt idx="1">
                  <c:v>57.5</c:v>
                </c:pt>
                <c:pt idx="2">
                  <c:v>65.8</c:v>
                </c:pt>
                <c:pt idx="3">
                  <c:v>61.2</c:v>
                </c:pt>
                <c:pt idx="4">
                  <c:v>29.4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F-44DF-AF5E-0A371DDFF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66902272"/>
        <c:axId val="67314816"/>
      </c:barChart>
      <c:catAx>
        <c:axId val="66902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7314816"/>
        <c:crosses val="autoZero"/>
        <c:auto val="1"/>
        <c:lblAlgn val="ctr"/>
        <c:lblOffset val="100"/>
        <c:noMultiLvlLbl val="0"/>
      </c:catAx>
      <c:valAx>
        <c:axId val="67314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6902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365-4DFA-8110-A9DD36C2487B}"/>
              </c:ext>
            </c:extLst>
          </c:dPt>
          <c:dPt>
            <c:idx val="3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365-4DFA-8110-A9DD36C2487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45.2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65-4DFA-8110-A9DD36C248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24.6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65-4DFA-8110-A9DD36C2487B}"/>
                </c:ext>
              </c:extLst>
            </c:dLbl>
            <c:dLbl>
              <c:idx val="2"/>
              <c:layout>
                <c:manualLayout>
                  <c:x val="0"/>
                  <c:y val="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65-4DFA-8110-A9DD36C2487B}"/>
                </c:ext>
              </c:extLst>
            </c:dLbl>
            <c:dLbl>
              <c:idx val="3"/>
              <c:layout>
                <c:manualLayout>
                  <c:x val="-6.4141414141414138E-3"/>
                  <c:y val="-2.121889068003332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50.4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65-4DFA-8110-A9DD36C2487B}"/>
                </c:ext>
              </c:extLst>
            </c:dLbl>
            <c:dLbl>
              <c:idx val="4"/>
              <c:layout>
                <c:manualLayout>
                  <c:x val="6.4141414141414138E-3"/>
                  <c:y val="-2.121889068003332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365-4DFA-8110-A9DD36C2487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44.0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65-4DFA-8110-A9DD36C2487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16.7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365-4DFA-8110-A9DD36C2487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43.4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365-4DFA-8110-A9DD36C2487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51.3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365-4DFA-8110-A9DD36C2487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31.8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365-4DFA-8110-A9DD36C2487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41.5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365-4DFA-8110-A9DD36C2487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48.1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365-4DFA-8110-A9DD36C2487B}"/>
                </c:ext>
              </c:extLst>
            </c:dLbl>
            <c:dLbl>
              <c:idx val="12"/>
              <c:layout>
                <c:manualLayout>
                  <c:x val="6.41414141414141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47.5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365-4DFA-8110-A9DD36C2487B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27.9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365-4DFA-8110-A9DD36C2487B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48.1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365-4DFA-8110-A9DD36C2487B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55.7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365-4DFA-8110-A9DD36C2487B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36.3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365-4DFA-8110-A9DD36C2487B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64.1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365-4DFA-8110-A9DD36C2487B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59.9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365-4DFA-8110-A9DD36C2487B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25.5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365-4DFA-8110-A9DD36C2487B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46.1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365-4DFA-8110-A9DD36C2487B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7.0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365-4DFA-8110-A9DD36C2487B}"/>
                </c:ext>
              </c:extLst>
            </c:dLbl>
            <c:dLbl>
              <c:idx val="22"/>
              <c:layout>
                <c:manualLayout>
                  <c:x val="-1.28282828282827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365-4DFA-8110-A9DD36C2487B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46.1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365-4DFA-8110-A9DD36C2487B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r>
                      <a:rPr lang="en-US"/>
                      <a:t>54.1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365-4DFA-8110-A9DD36C2487B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r>
                      <a:rPr lang="en-US"/>
                      <a:t>63.8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365-4DFA-8110-A9DD36C2487B}"/>
                </c:ext>
              </c:extLst>
            </c:dLbl>
            <c:dLbl>
              <c:idx val="26"/>
              <c:tx>
                <c:rich>
                  <a:bodyPr/>
                  <a:lstStyle/>
                  <a:p>
                    <a:r>
                      <a:rPr lang="en-US"/>
                      <a:t>52.1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365-4DFA-8110-A9DD36C2487B}"/>
                </c:ext>
              </c:extLst>
            </c:dLbl>
            <c:dLbl>
              <c:idx val="27"/>
              <c:tx>
                <c:rich>
                  <a:bodyPr/>
                  <a:lstStyle/>
                  <a:p>
                    <a:r>
                      <a:rPr lang="en-US"/>
                      <a:t>45.1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65-4DFA-8110-A9DD36C2487B}"/>
                </c:ext>
              </c:extLst>
            </c:dLbl>
            <c:dLbl>
              <c:idx val="28"/>
              <c:tx>
                <c:rich>
                  <a:bodyPr/>
                  <a:lstStyle/>
                  <a:p>
                    <a:r>
                      <a:rPr lang="en-US"/>
                      <a:t>60.0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365-4DFA-8110-A9DD36C2487B}"/>
                </c:ext>
              </c:extLst>
            </c:dLbl>
            <c:dLbl>
              <c:idx val="29"/>
              <c:tx>
                <c:rich>
                  <a:bodyPr/>
                  <a:lstStyle/>
                  <a:p>
                    <a:r>
                      <a:rPr lang="en-US"/>
                      <a:t>69.1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365-4DFA-8110-A9DD36C2487B}"/>
                </c:ext>
              </c:extLst>
            </c:dLbl>
            <c:dLbl>
              <c:idx val="30"/>
              <c:tx>
                <c:rich>
                  <a:bodyPr/>
                  <a:lstStyle/>
                  <a:p>
                    <a:r>
                      <a:rPr lang="en-US"/>
                      <a:t>12.7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365-4DFA-8110-A9DD36C2487B}"/>
                </c:ext>
              </c:extLst>
            </c:dLbl>
            <c:dLbl>
              <c:idx val="31"/>
              <c:tx>
                <c:rich>
                  <a:bodyPr/>
                  <a:lstStyle/>
                  <a:p>
                    <a:r>
                      <a:rPr lang="en-US"/>
                      <a:t>9.3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D365-4DFA-8110-A9DD36C2487B}"/>
                </c:ext>
              </c:extLst>
            </c:dLbl>
            <c:dLbl>
              <c:idx val="32"/>
              <c:layout>
                <c:manualLayout>
                  <c:x val="-2.1380471380471381E-3"/>
                  <c:y val="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19.8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65-4DFA-8110-A9DD36C2487B}"/>
                </c:ext>
              </c:extLst>
            </c:dLbl>
            <c:dLbl>
              <c:idx val="33"/>
              <c:layout>
                <c:manualLayout>
                  <c:x val="8.5521885521883962E-3"/>
                  <c:y val="-4.243778136006664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20.9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D365-4DFA-8110-A9DD36C2487B}"/>
                </c:ext>
              </c:extLst>
            </c:dLbl>
            <c:dLbl>
              <c:idx val="34"/>
              <c:tx>
                <c:rich>
                  <a:bodyPr/>
                  <a:lstStyle/>
                  <a:p>
                    <a:r>
                      <a:rPr lang="en-US"/>
                      <a:t>8.7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365-4DFA-8110-A9DD36C2487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Sheet1!$K$173:$K$207</c:f>
              <c:strCache>
                <c:ptCount val="35"/>
                <c:pt idx="0">
                  <c:v>Belgium</c:v>
                </c:pt>
                <c:pt idx="1">
                  <c:v>Bulgaria</c:v>
                </c:pt>
                <c:pt idx="2">
                  <c:v>Czech Republic</c:v>
                </c:pt>
                <c:pt idx="3">
                  <c:v>Denmark</c:v>
                </c:pt>
                <c:pt idx="4">
                  <c:v>Germany</c:v>
                </c:pt>
                <c:pt idx="5">
                  <c:v>Estonia</c:v>
                </c:pt>
                <c:pt idx="6">
                  <c:v>Greece</c:v>
                </c:pt>
                <c:pt idx="7">
                  <c:v>Spain</c:v>
                </c:pt>
                <c:pt idx="8">
                  <c:v>France</c:v>
                </c:pt>
                <c:pt idx="9">
                  <c:v>Croatia</c:v>
                </c:pt>
                <c:pt idx="10">
                  <c:v>Italy</c:v>
                </c:pt>
                <c:pt idx="11">
                  <c:v>Cyprus</c:v>
                </c:pt>
                <c:pt idx="12">
                  <c:v>Latvia</c:v>
                </c:pt>
                <c:pt idx="13">
                  <c:v>Lithuania</c:v>
                </c:pt>
                <c:pt idx="14">
                  <c:v>Luxembourg</c:v>
                </c:pt>
                <c:pt idx="15">
                  <c:v>Hungary</c:v>
                </c:pt>
                <c:pt idx="16">
                  <c:v>Malta</c:v>
                </c:pt>
                <c:pt idx="17">
                  <c:v>Netherlands</c:v>
                </c:pt>
                <c:pt idx="18">
                  <c:v>Austria</c:v>
                </c:pt>
                <c:pt idx="19">
                  <c:v>Poland</c:v>
                </c:pt>
                <c:pt idx="20">
                  <c:v>Portugal</c:v>
                </c:pt>
                <c:pt idx="21">
                  <c:v>Romania</c:v>
                </c:pt>
                <c:pt idx="22">
                  <c:v>Slovenia</c:v>
                </c:pt>
                <c:pt idx="23">
                  <c:v>Slovakia</c:v>
                </c:pt>
                <c:pt idx="24">
                  <c:v>Finland</c:v>
                </c:pt>
                <c:pt idx="25">
                  <c:v>Sweden</c:v>
                </c:pt>
                <c:pt idx="26">
                  <c:v>United Kingdom</c:v>
                </c:pt>
                <c:pt idx="27">
                  <c:v>EU</c:v>
                </c:pt>
                <c:pt idx="28">
                  <c:v>Norway</c:v>
                </c:pt>
                <c:pt idx="29">
                  <c:v>Switzeland</c:v>
                </c:pt>
                <c:pt idx="30">
                  <c:v>Macedonia</c:v>
                </c:pt>
                <c:pt idx="31">
                  <c:v>Albania</c:v>
                </c:pt>
                <c:pt idx="32">
                  <c:v>Serbia</c:v>
                </c:pt>
                <c:pt idx="33">
                  <c:v>Turkey</c:v>
                </c:pt>
                <c:pt idx="34">
                  <c:v>Bosnia and Hezegovina </c:v>
                </c:pt>
              </c:strCache>
            </c:strRef>
          </c:cat>
          <c:val>
            <c:numRef>
              <c:f>Sheet1!$L$173:$L$207</c:f>
              <c:numCache>
                <c:formatCode>General</c:formatCode>
                <c:ptCount val="35"/>
                <c:pt idx="0">
                  <c:v>45.2</c:v>
                </c:pt>
                <c:pt idx="1">
                  <c:v>24.6</c:v>
                </c:pt>
                <c:pt idx="2">
                  <c:v>46.1</c:v>
                </c:pt>
                <c:pt idx="3">
                  <c:v>50.4</c:v>
                </c:pt>
                <c:pt idx="4">
                  <c:v>52</c:v>
                </c:pt>
                <c:pt idx="5">
                  <c:v>44</c:v>
                </c:pt>
                <c:pt idx="6">
                  <c:v>16.7</c:v>
                </c:pt>
                <c:pt idx="7">
                  <c:v>43.4</c:v>
                </c:pt>
                <c:pt idx="8">
                  <c:v>51.3</c:v>
                </c:pt>
                <c:pt idx="9">
                  <c:v>31.8</c:v>
                </c:pt>
                <c:pt idx="10">
                  <c:v>41.5</c:v>
                </c:pt>
                <c:pt idx="11">
                  <c:v>48.1</c:v>
                </c:pt>
                <c:pt idx="12">
                  <c:v>47.5</c:v>
                </c:pt>
                <c:pt idx="13">
                  <c:v>27.9</c:v>
                </c:pt>
                <c:pt idx="14">
                  <c:v>48.1</c:v>
                </c:pt>
                <c:pt idx="15">
                  <c:v>55.7</c:v>
                </c:pt>
                <c:pt idx="16">
                  <c:v>36.299999999999997</c:v>
                </c:pt>
                <c:pt idx="17">
                  <c:v>64.099999999999994</c:v>
                </c:pt>
                <c:pt idx="18">
                  <c:v>59.9</c:v>
                </c:pt>
                <c:pt idx="19">
                  <c:v>25.5</c:v>
                </c:pt>
                <c:pt idx="20">
                  <c:v>46.1</c:v>
                </c:pt>
                <c:pt idx="21">
                  <c:v>7</c:v>
                </c:pt>
                <c:pt idx="22">
                  <c:v>46.1</c:v>
                </c:pt>
                <c:pt idx="23">
                  <c:v>46.1</c:v>
                </c:pt>
                <c:pt idx="24">
                  <c:v>54.1</c:v>
                </c:pt>
                <c:pt idx="25">
                  <c:v>63.8</c:v>
                </c:pt>
                <c:pt idx="26">
                  <c:v>52.1</c:v>
                </c:pt>
                <c:pt idx="27">
                  <c:v>45.1</c:v>
                </c:pt>
                <c:pt idx="28">
                  <c:v>60</c:v>
                </c:pt>
                <c:pt idx="29">
                  <c:v>69.099999999999994</c:v>
                </c:pt>
                <c:pt idx="30">
                  <c:v>12.7</c:v>
                </c:pt>
                <c:pt idx="31">
                  <c:v>9.3000000000000007</c:v>
                </c:pt>
                <c:pt idx="32">
                  <c:v>19.8</c:v>
                </c:pt>
                <c:pt idx="33">
                  <c:v>20.9</c:v>
                </c:pt>
                <c:pt idx="34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D365-4DFA-8110-A9DD36C248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69867392"/>
        <c:axId val="69881216"/>
      </c:barChart>
      <c:catAx>
        <c:axId val="6986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9881216"/>
        <c:crosses val="autoZero"/>
        <c:auto val="1"/>
        <c:lblAlgn val="ctr"/>
        <c:lblOffset val="100"/>
        <c:noMultiLvlLbl val="0"/>
      </c:catAx>
      <c:valAx>
        <c:axId val="69881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986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14-4ED5-8053-D68D293BFB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14-4ED5-8053-D68D293BFB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14-4ED5-8053-D68D293BFB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14-4ED5-8053-D68D293BFB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414-4ED5-8053-D68D293BFB3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EBCF79A-3A33-4BD6-8898-7520F1EC94D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60.7%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414-4ED5-8053-D68D293BFB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B6570EF-B39E-430A-8545-63815EB1C8C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17.9%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414-4ED5-8053-D68D293BFB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C82B7FA-0834-4B3D-A3D7-91E17EB9AD7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9.4%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414-4ED5-8053-D68D293BFB3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0851F5D-37CE-4137-BD37-7EAAFF30493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7.3%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414-4ED5-8053-D68D293BFB3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E3C7B75-5749-4303-8148-443191EB49E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4.6%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414-4ED5-8053-D68D293BFB3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Sheet1!$H$149:$H$153</c:f>
              <c:strCache>
                <c:ptCount val="5"/>
                <c:pt idx="0">
                  <c:v>English</c:v>
                </c:pt>
                <c:pt idx="1">
                  <c:v>Rusian</c:v>
                </c:pt>
                <c:pt idx="2">
                  <c:v>Bosnian</c:v>
                </c:pt>
                <c:pt idx="3">
                  <c:v>Germany</c:v>
                </c:pt>
                <c:pt idx="4">
                  <c:v>Croatian</c:v>
                </c:pt>
              </c:strCache>
            </c:strRef>
          </c:cat>
          <c:val>
            <c:numRef>
              <c:f>Sheet1!$I$149:$I$153</c:f>
              <c:numCache>
                <c:formatCode>General</c:formatCode>
                <c:ptCount val="5"/>
                <c:pt idx="0">
                  <c:v>1699901</c:v>
                </c:pt>
                <c:pt idx="1">
                  <c:v>502540</c:v>
                </c:pt>
                <c:pt idx="2">
                  <c:v>264267</c:v>
                </c:pt>
                <c:pt idx="3">
                  <c:v>204433</c:v>
                </c:pt>
                <c:pt idx="4">
                  <c:v>129921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14-4ED5-8053-D68D293BFB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8FB3-8CB7-4D0D-A49C-33353859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8411</CharactersWithSpaces>
  <SharedDoc>false</SharedDoc>
  <HLinks>
    <vt:vector size="12" baseType="variant"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Irena Dimic</cp:lastModifiedBy>
  <cp:revision>4</cp:revision>
  <cp:lastPrinted>2018-05-30T12:35:00Z</cp:lastPrinted>
  <dcterms:created xsi:type="dcterms:W3CDTF">2018-05-29T06:49:00Z</dcterms:created>
  <dcterms:modified xsi:type="dcterms:W3CDTF">2018-05-30T12:36:00Z</dcterms:modified>
</cp:coreProperties>
</file>