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CA53129" Type="http://schemas.openxmlformats.org/officeDocument/2006/relationships/officeDocument" Target="/word/document.xml" /><Relationship Id="coreR5CA5312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Borders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10296" w:type="dxa"/>
          </w:tcPr>
          <w:p>
            <w:pPr>
              <w:jc w:val="right"/>
              <w:rPr>
                <w:rStyle w:val="C3"/>
                <w:rFonts w:ascii="Arial" w:hAnsi="Arial"/>
                <w:color w:val="404040"/>
                <w:sz w:val="20"/>
              </w:rPr>
            </w:pPr>
            <w:r>
              <w:rPr>
                <w:rStyle w:val="C3"/>
                <w:rFonts w:ascii="Arial" w:hAnsi="Arial"/>
                <w:color w:val="404040"/>
                <w:sz w:val="20"/>
              </w:rPr>
              <w:t>29.11.2016.</w:t>
            </w:r>
          </w:p>
        </w:tc>
      </w:tr>
    </w:tbl>
    <w:p>
      <w:pPr>
        <w:pStyle w:val="P5"/>
        <w:spacing w:lineRule="auto" w:line="228" w:before="120" w:after="0" w:beforeAutospacing="0" w:afterAutospacing="0"/>
        <w:ind w:firstLine="357"/>
        <w:jc w:val="both"/>
        <w:rPr>
          <w:rStyle w:val="C3"/>
          <w:rFonts w:ascii="Arial" w:hAnsi="Arial"/>
          <w:sz w:val="28"/>
        </w:rPr>
      </w:pPr>
    </w:p>
    <w:p>
      <w:pPr>
        <w:spacing w:before="80" w:after="120"/>
        <w:jc w:val="center"/>
        <w:rPr>
          <w:rStyle w:val="C3"/>
          <w:rFonts w:ascii="Arial" w:hAnsi="Arial"/>
          <w:color w:val="404040"/>
          <w:sz w:val="28"/>
        </w:rPr>
      </w:pPr>
      <w:r>
        <w:rPr>
          <w:rStyle w:val="C3"/>
          <w:rFonts w:ascii="Arial" w:hAnsi="Arial"/>
          <w:color w:val="404040"/>
          <w:sz w:val="28"/>
        </w:rPr>
        <w:t>Коришћење времена у Републици Србији 2010. и 2015.</w:t>
      </w:r>
    </w:p>
    <w:p>
      <w:pPr>
        <w:spacing w:before="80" w:after="120"/>
        <w:jc w:val="center"/>
        <w:rPr>
          <w:rStyle w:val="C3"/>
          <w:rFonts w:ascii="Arial" w:hAnsi="Arial"/>
          <w:color w:val="404040"/>
          <w:sz w:val="28"/>
        </w:rPr>
      </w:pPr>
    </w:p>
    <w:p>
      <w:pPr>
        <w:spacing w:before="80" w:after="120"/>
        <w:rPr>
          <w:rStyle w:val="C3"/>
          <w:rFonts w:ascii="Arial" w:hAnsi="Arial"/>
          <w:color w:val="404040"/>
          <w:sz w:val="28"/>
        </w:rPr>
      </w:pPr>
    </w:p>
    <w:p>
      <w:pPr>
        <w:ind w:firstLine="720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Публикација „Коришћење времена у Републици Србији 2010. и 2015. године” настала је на основу података добијених из два анкетна истраживања о коришћењу времена, која је Републички завод за статистику спровео на територији Републике Србије. Прво, Истраживање о коришћењу времена, спроведено је 2010. године, и то у периоду од 15. фебруара 2010. до краја фебруара 2011. године. Друго истраживање, Сезонско истраживање о коришћењу времена, спроведено je током четири месеца 2015. године, и то у фебруару, мају, августу и новембру месецу. </w:t>
      </w:r>
    </w:p>
    <w:p>
      <w:pPr>
        <w:ind w:firstLine="720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>Истраживање о коришћењу времена обезбеђује податке о томе како становници Републике Србије користе време током дана или ноћи, радним данима или викендом. Вредност овако добијених података је потенцијално велика јер нуди слику о томе како жене или мушкарци проводе своје време, илуструјући активности које одређена група људи спроводи, када и колико дуго.</w:t>
      </w:r>
    </w:p>
    <w:p>
      <w:pPr>
        <w:spacing w:lineRule="auto" w:line="276"/>
        <w:ind w:firstLine="720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Да би се добили подаци о коришћењу времена, основни инструмент истраживања је дневник у који су чланови домаћинства старости 15 и више година означавали време када су обављали своје дневне активности. </w:t>
      </w:r>
    </w:p>
    <w:p>
      <w:pPr>
        <w:spacing w:lineRule="auto" w:line="276" w:after="200"/>
        <w:ind w:firstLine="720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>Ради лакшег представљања података, активности су груписане у шест главних група активности: плаћени посао, неплаћени посао, учење, личне потребе, слободно време и остале активности које обухватају неодређене активности и путовања.</w:t>
      </w:r>
    </w:p>
    <w:p>
      <w:pPr>
        <w:ind w:left="117" w:right="937"/>
        <w:jc w:val="both"/>
        <w:rPr>
          <w:rStyle w:val="C3"/>
          <w:rFonts w:ascii="Arial" w:hAnsi="Arial"/>
          <w:b w:val="1"/>
          <w:sz w:val="20"/>
        </w:rPr>
      </w:pPr>
      <w:r>
        <w:rPr>
          <w:rStyle w:val="C3"/>
          <w:rFonts w:ascii="Arial" w:hAnsi="Arial"/>
          <w:b w:val="1"/>
          <w:sz w:val="20"/>
        </w:rPr>
        <w:t>Графикон 1</w:t>
      </w:r>
      <w:r>
        <w:rPr>
          <w:rStyle w:val="C3"/>
          <w:rFonts w:ascii="Arial" w:hAnsi="Arial"/>
          <w:b w:val="1"/>
          <w:sz w:val="20"/>
        </w:rPr>
        <w:t>.</w:t>
      </w:r>
      <w:r>
        <w:rPr>
          <w:rStyle w:val="C3"/>
          <w:rFonts w:ascii="Arial" w:hAnsi="Arial"/>
          <w:b w:val="1"/>
          <w:sz w:val="20"/>
        </w:rPr>
        <w:t xml:space="preserve"> Просечно време проведено у активностима, становништво старости</w:t>
      </w:r>
    </w:p>
    <w:p>
      <w:pPr>
        <w:spacing w:lineRule="exact" w:line="228" w:before="10"/>
        <w:ind w:left="117" w:right="1463"/>
        <w:jc w:val="both"/>
        <w:rPr>
          <w:rStyle w:val="C3"/>
          <w:rFonts w:ascii="Arial" w:hAnsi="Arial"/>
          <w:b w:val="1"/>
          <w:sz w:val="20"/>
        </w:rPr>
      </w:pPr>
      <w:r>
        <w:rPr>
          <w:rStyle w:val="C3"/>
          <w:rFonts w:ascii="Arial" w:hAnsi="Arial"/>
          <w:b w:val="1"/>
          <w:sz w:val="20"/>
        </w:rPr>
        <w:t>15 и више година, према полу; сви дани, Република Србија, 2015. (у сатима)</w:t>
      </w:r>
    </w:p>
    <w:p>
      <w:pPr>
        <w:spacing w:lineRule="auto" w:line="276" w:after="200"/>
        <w:rPr>
          <w:rStyle w:val="C3"/>
          <w:rFonts w:ascii="Arial" w:hAnsi="Arial"/>
          <w:sz w:val="20"/>
        </w:rPr>
      </w:pPr>
    </w:p>
    <w:p>
      <w:pPr>
        <w:spacing w:lineRule="auto" w:line="276" w:after="200"/>
        <w:ind w:firstLine="720"/>
        <w:rPr>
          <w:rStyle w:val="C3"/>
          <w:rFonts w:ascii="Arial" w:hAnsi="Arial"/>
          <w:sz w:val="20"/>
        </w:rPr>
      </w:pPr>
      <w:r>
        <w:drawing>
          <wp:inline xmlns:wp="http://schemas.openxmlformats.org/drawingml/2006/wordprocessingDrawing">
            <wp:extent cx="5852160" cy="156083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5608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ind w:firstLine="720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Становништво Републике Србије старости 15 и више година у просеку дневно проведе у некој врсти рада скоро седам сати (од тога скоро три сата на плаћеном раду и три и по сата на неплаћеном раду), мало мање од пола сата у учењу, највећи део дана у личним потребама (10 и по сати), а време које је преостало можемо назвати слободним временом и у њему проводимо шест и по сати. </w:t>
      </w:r>
    </w:p>
    <w:p>
      <w:pPr>
        <w:rPr>
          <w:rStyle w:val="C3"/>
          <w:rFonts w:ascii="Arial" w:hAnsi="Arial"/>
          <w:color w:val="FF0000"/>
          <w:sz w:val="20"/>
        </w:rPr>
      </w:pPr>
    </w:p>
    <w:p>
      <w:pPr>
        <w:ind w:firstLine="720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>Истраживање је, нажалост, потврдило стереотипе који важе на овим просторима. Без обзира на то да ли су запослене или не, жене двоструко више раде у кући, а упола мање времена проводе на плаћеним пословима него мушкарци.</w:t>
      </w:r>
    </w:p>
    <w:p>
      <w:pPr>
        <w:ind w:firstLine="720"/>
        <w:rPr>
          <w:rStyle w:val="C3"/>
          <w:rFonts w:ascii="Arial" w:hAnsi="Arial"/>
          <w:sz w:val="20"/>
        </w:rPr>
      </w:pPr>
    </w:p>
    <w:p>
      <w:pPr>
        <w:ind w:firstLine="720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Када говоримо само о плаћеном послу, мушкарци су у просеку скоро дупло више ангажовани од жена на тим пословима, односно три сата и 46 минута, а жене два сата и четири минуте. </w:t>
      </w:r>
    </w:p>
    <w:p>
      <w:pPr>
        <w:spacing w:lineRule="auto" w:line="276"/>
        <w:ind w:firstLine="720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Потпуно је друга слика када говоримо о неплаћеном послу јер жене двоструко више раде у кући од мушкараца. Четири сата и 36 минута према два сата и пет минута. </w:t>
      </w:r>
    </w:p>
    <w:p>
      <w:pPr>
        <w:spacing w:lineRule="auto" w:line="276"/>
        <w:ind w:firstLine="720"/>
        <w:rPr>
          <w:rStyle w:val="C3"/>
          <w:rFonts w:ascii="Arial" w:hAnsi="Arial"/>
          <w:sz w:val="20"/>
        </w:rPr>
      </w:pPr>
    </w:p>
    <w:p>
      <w:pPr>
        <w:spacing w:lineRule="auto" w:line="276"/>
        <w:ind w:firstLine="720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>Без обзира на запослење, послове у кући обављају углавном жене, па за оне које раде те послове постаје друга смена. У неплаћеним пословима жене у просеку проведу више од четири и по сати дневно, а мушкарци мало више од два сата, што значи да жене двоструко дуже времена проводе на овим активностима.</w:t>
      </w:r>
    </w:p>
    <w:p>
      <w:pPr>
        <w:rPr>
          <w:rStyle w:val="C3"/>
          <w:rFonts w:ascii="Arial" w:hAnsi="Arial"/>
          <w:sz w:val="20"/>
        </w:rPr>
      </w:pPr>
    </w:p>
    <w:p>
      <w:pPr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Тако жене, у просеку, укупно раде непуних седам сати, а мушкарци скоро шест сати, с тиме што жене више од две трећине времена проводе у неплаћеним пословима, а мушкарци у плаћеним пословима. Ако упоредимо податке из 2010. и 2015. године, за ових пет година дошло je до промена у расподели времена током дана на ових шест активности и код жена, и код мушкараца. </w:t>
      </w:r>
    </w:p>
    <w:p>
      <w:pPr>
        <w:ind w:firstLine="720"/>
        <w:jc w:val="both"/>
        <w:rPr>
          <w:rStyle w:val="C3"/>
          <w:rFonts w:ascii="Arial" w:hAnsi="Arial"/>
          <w:sz w:val="20"/>
        </w:rPr>
      </w:pPr>
    </w:p>
    <w:p>
      <w:pPr>
        <w:ind w:firstLine="720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Интересантно је да се и код жена и код мушкараца време проведено на плаћеном послу одржало скоро на истом нивоу као пре пет година. Али, у просеку, неплаћени рад благо je смањен код оба пола. </w:t>
      </w:r>
    </w:p>
    <w:p>
      <w:pPr>
        <w:ind w:firstLine="720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Највеће промене су код активности које се односе на личне потребе и на слободно време. И жене и мушкарци су у 2015. години, у просеку, преко 30 минута краће времена проводили у активностима личних потреба, као што су спавање, конзумирање хране, лична хигијена итд., него пет година раније. Разлика у времену „надокнађена“ је у корист активности које се односе на слободно време. Што се тиче тзв. осталих активности, разлике између 2010. и 2015. у проведеном времену су занемарљиве. </w:t>
      </w:r>
    </w:p>
    <w:p>
      <w:pPr>
        <w:ind w:firstLine="720"/>
        <w:jc w:val="both"/>
        <w:rPr>
          <w:rStyle w:val="C3"/>
          <w:rFonts w:ascii="Arial" w:hAnsi="Arial"/>
          <w:sz w:val="20"/>
        </w:rPr>
      </w:pPr>
    </w:p>
    <w:p>
      <w:pPr>
        <w:ind w:firstLine="720"/>
        <w:jc w:val="both"/>
        <w:rPr>
          <w:rStyle w:val="C3"/>
          <w:rFonts w:ascii="Arial" w:hAnsi="Arial"/>
          <w:sz w:val="20"/>
        </w:rPr>
      </w:pPr>
    </w:p>
    <w:p>
      <w:pPr>
        <w:spacing w:before="120" w:after="120"/>
        <w:ind w:firstLine="397"/>
        <w:jc w:val="center"/>
        <w:rPr>
          <w:rStyle w:val="C3"/>
          <w:rFonts w:ascii="Arial" w:hAnsi="Arial"/>
          <w:b w:val="1"/>
          <w:sz w:val="22"/>
        </w:rPr>
      </w:pPr>
      <w:r>
        <w:rPr>
          <w:rStyle w:val="C3"/>
          <w:rFonts w:ascii="Arial" w:hAnsi="Arial"/>
          <w:b w:val="1"/>
          <w:sz w:val="22"/>
        </w:rPr>
        <w:t>Методолошка објашњења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</w:p>
    <w:p>
      <w:pPr>
        <w:keepNext w:val="1"/>
        <w:spacing w:before="120" w:after="120"/>
        <w:ind w:firstLine="397"/>
        <w:jc w:val="both"/>
        <w:outlineLvl w:val="0"/>
        <w:rPr>
          <w:rStyle w:val="C3"/>
          <w:rFonts w:ascii="Arial" w:hAnsi="Arial"/>
          <w:b w:val="1"/>
          <w:sz w:val="20"/>
        </w:rPr>
      </w:pPr>
      <w:r>
        <w:rPr>
          <w:rStyle w:val="C3"/>
          <w:rFonts w:ascii="Arial" w:hAnsi="Arial"/>
          <w:b w:val="1"/>
          <w:sz w:val="20"/>
        </w:rPr>
        <w:t xml:space="preserve">Основне дефиниције 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 xml:space="preserve">Просечно време проведено у одређеној активности односи се на сва анкетирана лица. Рачуна се тако што се укупно време проведено у одређеној активности подели с бројем свих анкетираних лица. 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sz w:val="20"/>
        </w:rPr>
        <w:t>Главне групе активности су: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b w:val="1"/>
          <w:sz w:val="20"/>
        </w:rPr>
        <w:t>Плаћени посао</w:t>
      </w:r>
      <w:r>
        <w:rPr>
          <w:rStyle w:val="C3"/>
          <w:rFonts w:ascii="Arial" w:hAnsi="Arial"/>
          <w:sz w:val="20"/>
        </w:rPr>
        <w:t xml:space="preserve"> подразумева време проведено на главном и додатном послу, паузу за ручак и путовање до и са посла, као и друге активности које се односе на посао.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b w:val="1"/>
          <w:sz w:val="20"/>
        </w:rPr>
        <w:t>Неплаћени посао</w:t>
      </w:r>
      <w:r>
        <w:rPr>
          <w:rStyle w:val="C3"/>
          <w:rFonts w:ascii="Arial" w:hAnsi="Arial"/>
          <w:sz w:val="20"/>
        </w:rPr>
        <w:t xml:space="preserve"> подразумева кување, чишћење и спремање куће, прање и пеглање веша, поправке у домаћинству, куповину, бригу о деци и одраслима, путовање у вези са неплаћеним активностима и др.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b w:val="1"/>
          <w:sz w:val="20"/>
        </w:rPr>
        <w:t>Учење</w:t>
      </w:r>
      <w:r>
        <w:rPr>
          <w:rStyle w:val="C3"/>
          <w:rFonts w:ascii="Arial" w:hAnsi="Arial"/>
          <w:sz w:val="20"/>
        </w:rPr>
        <w:t xml:space="preserve"> се односи на време проведено у настави у школи или факултету, раду на домаћим задацима, учењу страног језика или вожње, путовању и остале активности у вези са учењем.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b w:val="1"/>
          <w:sz w:val="20"/>
        </w:rPr>
        <w:t>Личне потребе</w:t>
      </w:r>
      <w:r>
        <w:rPr>
          <w:rStyle w:val="C3"/>
          <w:rFonts w:ascii="Arial" w:hAnsi="Arial"/>
          <w:sz w:val="20"/>
        </w:rPr>
        <w:t xml:space="preserve"> укључују време проведено у спавању, јелу и пићу, купању, облачењу, али и у дремању, лежању у кревету због болести и друге личне активности.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b w:val="1"/>
          <w:sz w:val="20"/>
        </w:rPr>
        <w:t xml:space="preserve">Слободно време </w:t>
      </w:r>
      <w:r>
        <w:rPr>
          <w:rStyle w:val="C3"/>
          <w:rFonts w:ascii="Arial" w:hAnsi="Arial"/>
          <w:sz w:val="20"/>
        </w:rPr>
        <w:t>је време</w:t>
      </w:r>
      <w:r>
        <w:rPr>
          <w:rStyle w:val="C3"/>
          <w:rFonts w:ascii="Arial" w:hAnsi="Arial"/>
          <w:b w:val="1"/>
          <w:sz w:val="20"/>
        </w:rPr>
        <w:t xml:space="preserve"> </w:t>
      </w:r>
      <w:r>
        <w:rPr>
          <w:rStyle w:val="C3"/>
          <w:rFonts w:ascii="Arial" w:hAnsi="Arial"/>
          <w:sz w:val="20"/>
        </w:rPr>
        <w:t>проведено у дружењу са породицом или пријатељима, у забави, култури или спорту, гледању ТВ програма, одмарању или ленчарењу, у читању књига или новина, раду или игри на компјутеру, као и путовања у вези са овим.</w:t>
      </w:r>
    </w:p>
    <w:p>
      <w:pPr>
        <w:spacing w:before="120" w:after="120"/>
        <w:ind w:firstLine="397"/>
        <w:jc w:val="both"/>
        <w:rPr>
          <w:rStyle w:val="C3"/>
          <w:rFonts w:ascii="Arial" w:hAnsi="Arial"/>
          <w:sz w:val="20"/>
        </w:rPr>
      </w:pPr>
      <w:r>
        <w:rPr>
          <w:rStyle w:val="C3"/>
          <w:rFonts w:ascii="Arial" w:hAnsi="Arial"/>
          <w:b w:val="1"/>
          <w:sz w:val="20"/>
        </w:rPr>
        <w:t>Остале</w:t>
      </w:r>
      <w:r>
        <w:rPr>
          <w:rStyle w:val="C3"/>
          <w:rFonts w:ascii="Arial" w:hAnsi="Arial"/>
          <w:sz w:val="20"/>
        </w:rPr>
        <w:t xml:space="preserve"> </w:t>
      </w:r>
      <w:r>
        <w:rPr>
          <w:rStyle w:val="C3"/>
          <w:rFonts w:ascii="Arial" w:hAnsi="Arial"/>
          <w:b w:val="1"/>
          <w:sz w:val="20"/>
        </w:rPr>
        <w:t>активности</w:t>
      </w:r>
      <w:r>
        <w:rPr>
          <w:rStyle w:val="C3"/>
          <w:rFonts w:ascii="Arial" w:hAnsi="Arial"/>
          <w:sz w:val="20"/>
        </w:rPr>
        <w:t xml:space="preserve"> су активности које се односе на неодређене активности и путовања.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Mar w:left="1080" w:right="1080" w:top="360" w:bottom="187" w:header="432" w:footer="0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ind w:hanging="142" w:left="142"/>
      <w:jc w:val="both"/>
      <w:rPr>
        <w:rStyle w:val="C3"/>
        <w:rFonts w:ascii="Tahoma" w:hAnsi="Tahoma"/>
        <w:color w:val="333333"/>
        <w:sz w:val="16"/>
      </w:rPr>
    </w:pPr>
    <w:r>
      <w:rPr>
        <w:rStyle w:val="C3"/>
        <w:rFonts w:ascii="Tahoma" w:hAnsi="Tahoma"/>
        <w:color w:val="333333"/>
        <w:sz w:val="16"/>
        <w:vertAlign w:val="superscript"/>
      </w:rPr>
      <w:t xml:space="preserve">1) </w:t>
    </w:r>
    <w:r>
      <w:rPr>
        <w:rStyle w:val="C3"/>
        <w:rFonts w:ascii="Tahoma" w:hAnsi="Tahoma"/>
        <w:color w:val="333333"/>
        <w:sz w:val="16"/>
      </w:rPr>
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(укупно).</w:t>
    </w:r>
  </w:p>
  <w:p>
    <w:pPr>
      <w:pStyle w:val="P2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autofit"/>
    </w:tblPr>
    <w:tblGrid/>
    <w:tr>
      <w:tc>
        <w:tcPr>
          <w:tcW w:w="4788" w:type="dxa"/>
        </w:tcPr>
        <w:tbl>
          <w:tblPr>
            <w:tblStyle w:val="T2"/>
            <w:tblW w:w="11268" w:type="dxa"/>
            <w:tblLayout w:type="autofit"/>
          </w:tblPr>
          <w:tblGrid/>
          <w:tr>
            <w:tc>
              <w:tcPr>
                <w:tcW w:w="5868" w:type="dxa"/>
              </w:tcPr>
              <w:p>
                <w:pPr>
                  <w:spacing w:before="120"/>
                  <w:jc w:val="both"/>
                  <w:rPr>
                    <w:rStyle w:val="C3"/>
                    <w:rFonts w:ascii="Tahoma" w:hAnsi="Tahoma"/>
                    <w:color w:val="333333"/>
                    <w:sz w:val="20"/>
                  </w:rPr>
                </w:pPr>
                <w:r>
                  <w:rPr>
                    <w:rStyle w:val="C3"/>
                    <w:rFonts w:ascii="Tahoma" w:hAnsi="Tahoma"/>
                    <w:color w:val="333333"/>
                    <w:sz w:val="20"/>
                  </w:rPr>
                  <w:t>Контакт:</w:t>
                </w:r>
              </w:p>
              <w:p>
                <w:pPr>
                  <w:jc w:val="both"/>
                  <w:rPr>
                    <w:rStyle w:val="C3"/>
                    <w:rFonts w:ascii="Tahoma" w:hAnsi="Tahoma"/>
                    <w:color w:val="333333"/>
                    <w:sz w:val="20"/>
                  </w:rPr>
                </w:pPr>
                <w:r>
                  <w:rPr>
                    <w:rStyle w:val="C3"/>
                    <w:rFonts w:ascii="Tahoma" w:hAnsi="Tahoma"/>
                    <w:color w:val="333333"/>
                    <w:sz w:val="20"/>
                  </w:rPr>
                  <w:t>Драгана Ђоковић Папић, шеф одсека</w:t>
                </w:r>
              </w:p>
              <w:p>
                <w:pPr>
                  <w:jc w:val="both"/>
                  <w:rPr>
                    <w:rStyle w:val="C3"/>
                    <w:rFonts w:ascii="Tahoma" w:hAnsi="Tahoma"/>
                    <w:color w:val="333333"/>
                    <w:sz w:val="20"/>
                  </w:rPr>
                </w:pPr>
                <w:r>
                  <w:rPr>
                    <w:rStyle w:val="C3"/>
                    <w:rFonts w:ascii="Tahoma" w:hAnsi="Tahoma"/>
                    <w:color w:val="333333"/>
                    <w:sz w:val="20"/>
                  </w:rPr>
                  <w:t>Одсек за социјалне индикаторе,</w:t>
                </w:r>
              </w:p>
              <w:p>
                <w:pPr>
                  <w:jc w:val="both"/>
                  <w:rPr>
                    <w:rStyle w:val="C3"/>
                    <w:rFonts w:ascii="Tahoma" w:hAnsi="Tahoma"/>
                    <w:color w:val="333333"/>
                    <w:sz w:val="20"/>
                  </w:rPr>
                </w:pPr>
                <w:r>
                  <w:rPr>
                    <w:rStyle w:val="C3"/>
                    <w:rFonts w:ascii="Tahoma" w:hAnsi="Tahoma"/>
                    <w:color w:val="333333"/>
                    <w:sz w:val="20"/>
                  </w:rPr>
                  <w:t xml:space="preserve"> правосудну и родну статистику</w:t>
                </w:r>
              </w:p>
              <w:p>
                <w:pPr>
                  <w:rPr>
                    <w:rStyle w:val="C3"/>
                    <w:rFonts w:ascii="Tahoma" w:hAnsi="Tahoma"/>
                    <w:color w:val="333333"/>
                    <w:sz w:val="20"/>
                  </w:rPr>
                </w:pPr>
                <w:r>
                  <w:rPr>
                    <w:rStyle w:val="C3"/>
                    <w:rFonts w:ascii="Tahoma" w:hAnsi="Tahoma"/>
                    <w:color w:val="333333"/>
                    <w:sz w:val="20"/>
                  </w:rPr>
                  <w:t>Тел.: +381 11 2410 947</w:t>
                </w:r>
              </w:p>
              <w:p>
                <w:pPr>
                  <w:jc w:val="both"/>
                  <w:rPr>
                    <w:rStyle w:val="C3"/>
                    <w:rFonts w:ascii="Tahoma" w:hAnsi="Tahoma"/>
                    <w:color w:val="333333"/>
                    <w:sz w:val="10"/>
                  </w:rPr>
                </w:pPr>
              </w:p>
              <w:p>
                <w:pPr>
                  <w:jc w:val="both"/>
                  <w:rPr>
                    <w:rStyle w:val="C3"/>
                    <w:rFonts w:ascii="Tahoma" w:hAnsi="Tahoma"/>
                    <w:color w:val="333333"/>
                    <w:sz w:val="20"/>
                  </w:rPr>
                </w:pPr>
                <w:r>
                  <w:rPr>
                    <w:rStyle w:val="C3"/>
                    <w:rFonts w:ascii="Tahoma" w:hAnsi="Tahoma"/>
                    <w:color w:val="333333"/>
                    <w:sz w:val="20"/>
                  </w:rPr>
                  <w:t xml:space="preserve">Група за информисање и дисеминацију </w:t>
                </w:r>
              </w:p>
              <w:p>
                <w:pPr>
                  <w:jc w:val="both"/>
                  <w:rPr>
                    <w:rStyle w:val="C3"/>
                    <w:rFonts w:ascii="Tahoma" w:hAnsi="Tahoma"/>
                    <w:color w:val="333333"/>
                    <w:sz w:val="20"/>
                  </w:rPr>
                </w:pPr>
                <w:r>
                  <w:rPr>
                    <w:rStyle w:val="C3"/>
                    <w:rFonts w:ascii="Tahoma" w:hAnsi="Tahoma"/>
                    <w:color w:val="333333"/>
                    <w:sz w:val="20"/>
                  </w:rPr>
                  <w:t>Тел.: +381 11 2401 284</w:t>
                </w:r>
              </w:p>
              <w:p>
                <w:pPr>
                  <w:spacing w:after="120"/>
                  <w:jc w:val="both"/>
                  <w:rPr>
                    <w:rStyle w:val="C3"/>
                    <w:rFonts w:ascii="Tahoma" w:hAnsi="Tahoma"/>
                    <w:sz w:val="22"/>
                  </w:rPr>
                </w:pPr>
                <w:r>
                  <w:rPr>
                    <w:rStyle w:val="C3"/>
                    <w:rFonts w:ascii="Tahoma" w:hAnsi="Tahoma"/>
                    <w:color w:val="333333"/>
                    <w:sz w:val="20"/>
                  </w:rPr>
                  <w:t>stat@stat.gov.rs</w:t>
                </w:r>
              </w:p>
            </w:tc>
            <w:tc>
              <w:tcPr>
                <w:tcW w:w="5400" w:type="dxa"/>
              </w:tcPr>
              <w:p>
                <w:pPr>
                  <w:spacing w:before="120"/>
                  <w:jc w:val="center"/>
                  <w:rPr>
                    <w:rStyle w:val="C3"/>
                    <w:rFonts w:ascii="Tahoma" w:hAnsi="Tahoma"/>
                    <w:sz w:val="20"/>
                  </w:rPr>
                </w:pPr>
                <w:r>
                  <w:rPr>
                    <w:rStyle w:val="C3"/>
                    <w:rFonts w:ascii="Tahoma" w:hAnsi="Tahoma"/>
                    <w:sz w:val="20"/>
                  </w:rPr>
                  <w:t xml:space="preserve">  Директор</w:t>
                </w:r>
              </w:p>
              <w:p>
                <w:pPr>
                  <w:ind w:left="972"/>
                  <w:jc w:val="both"/>
                  <w:rPr>
                    <w:rStyle w:val="C3"/>
                    <w:rFonts w:ascii="Tahoma" w:hAnsi="Tahoma"/>
                    <w:color w:val="808080"/>
                    <w:sz w:val="20"/>
                  </w:rPr>
                </w:pPr>
                <w:r>
                  <w:rPr>
                    <w:rStyle w:val="C3"/>
                    <w:rFonts w:ascii="Tahoma" w:hAnsi="Tahoma"/>
                    <w:sz w:val="20"/>
                  </w:rPr>
                  <w:t xml:space="preserve">        Др Миладин Ковачевић</w:t>
                </w:r>
              </w:p>
              <w:p>
                <w:pPr>
                  <w:jc w:val="both"/>
                  <w:rPr>
                    <w:rStyle w:val="C3"/>
                    <w:rFonts w:ascii="Tahoma" w:hAnsi="Tahoma"/>
                    <w:sz w:val="20"/>
                  </w:rPr>
                </w:pPr>
              </w:p>
            </w:tc>
          </w:tr>
        </w:tbl>
        <w:p>
          <w:pPr>
            <w:jc w:val="both"/>
            <w:rPr>
              <w:rStyle w:val="C3"/>
              <w:rFonts w:ascii="Tahoma" w:hAnsi="Tahoma"/>
              <w:color w:val="333333"/>
              <w:sz w:val="22"/>
            </w:rPr>
          </w:pPr>
        </w:p>
      </w:tc>
      <w:tc>
        <w:tcPr>
          <w:tcW w:w="5400" w:type="dxa"/>
        </w:tcPr>
        <w:p>
          <w:pPr>
            <w:rPr>
              <w:rStyle w:val="C3"/>
              <w:rFonts w:ascii="Tahoma" w:hAnsi="Tahoma"/>
              <w:color w:val="333333"/>
              <w:sz w:val="22"/>
            </w:rPr>
          </w:pPr>
        </w:p>
      </w:tc>
    </w:tr>
    <w:tr>
      <w:tblPrEx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Ex>
      <w:tc>
        <w:tcPr>
          <w:tcW w:w="4788" w:type="dxa"/>
          <w:tcBorders>
            <w:top w:val="none" w:sz="0" w:space="0" w:shadow="0" w:frame="0"/>
            <w:left w:val="none" w:sz="0" w:space="0" w:shadow="0" w:frame="0"/>
            <w:bottom w:val="none" w:sz="0" w:space="0" w:shadow="0" w:frame="0"/>
            <w:right w:val="none" w:sz="0" w:space="0" w:shadow="0" w:frame="0"/>
          </w:tcBorders>
        </w:tcPr>
        <w:p>
          <w:pPr>
            <w:jc w:val="both"/>
            <w:rPr>
              <w:rStyle w:val="C3"/>
              <w:rFonts w:ascii="Tahoma" w:hAnsi="Tahoma"/>
              <w:sz w:val="22"/>
            </w:rPr>
          </w:pPr>
        </w:p>
      </w:tc>
      <w:tc>
        <w:tcPr>
          <w:tcW w:w="5400" w:type="dxa"/>
          <w:tcBorders>
            <w:top w:val="none" w:sz="0" w:space="0" w:shadow="0" w:frame="0"/>
            <w:left w:val="none" w:sz="0" w:space="0" w:shadow="0" w:frame="0"/>
            <w:bottom w:val="none" w:sz="0" w:space="0" w:shadow="0" w:frame="0"/>
            <w:right w:val="none" w:sz="0" w:space="0" w:shadow="0" w:frame="0"/>
          </w:tcBorders>
        </w:tcPr>
        <w:p>
          <w:pPr>
            <w:ind w:left="972"/>
            <w:jc w:val="both"/>
            <w:rPr>
              <w:rStyle w:val="C3"/>
              <w:rFonts w:ascii="Tahoma" w:hAnsi="Tahoma"/>
              <w:sz w:val="20"/>
            </w:rPr>
          </w:pPr>
        </w:p>
      </w:tc>
    </w:tr>
  </w:tbl>
  <w:p>
    <w:pPr>
      <w:pStyle w:val="P2"/>
      <w:rPr>
        <w:rStyle w:val="C3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Borders>
        <w:top w:val="none" w:sz="0" w:space="0" w:shadow="0" w:frame="0"/>
        <w:left w:val="none" w:sz="0" w:space="0" w:shadow="0" w:frame="0"/>
        <w:bottom w:val="none" w:sz="0" w:space="0" w:shadow="0" w:frame="0"/>
        <w:right w:val="none" w:sz="0" w:space="0" w:shadow="0" w:frame="0"/>
        <w:insideH w:val="single" w:sz="4" w:space="0" w:shadow="0" w:frame="0"/>
        <w:insideV w:val="none" w:sz="0" w:space="0" w:shadow="0" w:frame="0"/>
      </w:tblBorders>
      <w:tblLayout w:type="fixed"/>
    </w:tblPr>
    <w:tblGrid/>
    <w:tr>
      <w:tc>
        <w:tcPr>
          <w:tcW w:w="3708" w:type="dxa"/>
        </w:tcPr>
        <w:p>
          <w:pPr>
            <w:pStyle w:val="P1"/>
            <w:ind w:right="972"/>
            <w:rPr>
              <w:rStyle w:val="C3"/>
              <w:rFonts w:ascii="Arial" w:hAnsi="Arial"/>
              <w:color w:val="595959"/>
              <w:sz w:val="22"/>
            </w:rPr>
          </w:pPr>
          <w:r>
            <w:drawing>
              <wp:inline xmlns:wp="http://schemas.openxmlformats.org/drawingml/2006/wordprocessingDrawing">
                <wp:extent cx="1564005" cy="70993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005" cy="70993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Style w:val="C3"/>
              <w:rFonts w:ascii="Arial" w:hAnsi="Arial"/>
              <w:color w:val="595959"/>
              <w:sz w:val="20"/>
            </w:rPr>
            <w:t xml:space="preserve"> </w:t>
          </w:r>
          <w:r>
            <w:rPr>
              <w:rStyle w:val="C3"/>
              <w:rFonts w:ascii="Arial" w:hAnsi="Arial"/>
              <w:color w:val="595959"/>
              <w:sz w:val="22"/>
            </w:rPr>
            <w:t>Република Србија</w:t>
          </w:r>
        </w:p>
        <w:p>
          <w:pPr>
            <w:pStyle w:val="P1"/>
            <w:rPr>
              <w:rStyle w:val="C3"/>
              <w:rFonts w:ascii="Arial" w:hAnsi="Arial"/>
              <w:color w:val="595959"/>
              <w:sz w:val="20"/>
            </w:rPr>
          </w:pPr>
          <w:r>
            <w:rPr>
              <w:rStyle w:val="C3"/>
              <w:rFonts w:ascii="Arial" w:hAnsi="Arial"/>
              <w:color w:val="595959"/>
              <w:sz w:val="22"/>
            </w:rPr>
            <w:t>Републички завод за статистику</w:t>
          </w:r>
        </w:p>
      </w:tc>
      <w:tc>
        <w:tcPr>
          <w:tcW w:w="6588" w:type="dxa"/>
        </w:tcPr>
        <w:p>
          <w:pPr>
            <w:pStyle w:val="P1"/>
            <w:jc w:val="right"/>
            <w:rPr>
              <w:rStyle w:val="C3"/>
              <w:rFonts w:ascii="Arial" w:hAnsi="Arial"/>
              <w:b w:val="1"/>
              <w:color w:val="595959"/>
              <w:sz w:val="28"/>
            </w:rPr>
          </w:pPr>
          <w:r>
            <w:rPr>
              <w:rStyle w:val="C3"/>
              <w:rFonts w:ascii="Arial" w:hAnsi="Arial"/>
              <w:b w:val="1"/>
              <w:color w:val="595959"/>
              <w:sz w:val="28"/>
            </w:rPr>
            <w:t>Саопштење за јавност</w:t>
          </w:r>
        </w:p>
        <w:p>
          <w:pPr>
            <w:pStyle w:val="P1"/>
            <w:jc w:val="right"/>
            <w:rPr>
              <w:rStyle w:val="C3"/>
              <w:rFonts w:ascii="Arial" w:hAnsi="Arial"/>
              <w:color w:val="595959"/>
              <w:sz w:val="22"/>
            </w:rPr>
          </w:pPr>
        </w:p>
        <w:p>
          <w:pPr>
            <w:pStyle w:val="P1"/>
            <w:jc w:val="right"/>
            <w:rPr>
              <w:rStyle w:val="C3"/>
              <w:rFonts w:ascii="Arial" w:hAnsi="Arial"/>
              <w:color w:val="595959"/>
              <w:sz w:val="22"/>
            </w:rPr>
          </w:pPr>
          <w:r>
            <w:rPr>
              <w:rStyle w:val="C3"/>
              <w:rFonts w:ascii="Arial" w:hAnsi="Arial"/>
              <w:color w:val="595959"/>
              <w:sz w:val="22"/>
            </w:rPr>
            <w:t>Београд, Милана Ракића 5</w:t>
          </w:r>
        </w:p>
        <w:p>
          <w:pPr>
            <w:pStyle w:val="P1"/>
            <w:jc w:val="right"/>
            <w:rPr>
              <w:rStyle w:val="C3"/>
              <w:rFonts w:ascii="Arial" w:hAnsi="Arial"/>
              <w:color w:val="595959"/>
              <w:sz w:val="22"/>
            </w:rPr>
          </w:pPr>
          <w:r>
            <w:rPr>
              <w:rStyle w:val="C3"/>
              <w:rFonts w:ascii="Arial" w:hAnsi="Arial"/>
              <w:color w:val="595959"/>
              <w:sz w:val="22"/>
            </w:rPr>
            <w:t>Телефон +381 11 2412-922</w:t>
          </w:r>
        </w:p>
        <w:p>
          <w:pPr>
            <w:pStyle w:val="P1"/>
            <w:jc w:val="right"/>
            <w:rPr>
              <w:rStyle w:val="C3"/>
              <w:rFonts w:ascii="Arial" w:hAnsi="Arial"/>
              <w:color w:val="595959"/>
              <w:sz w:val="22"/>
            </w:rPr>
          </w:pPr>
          <w:r>
            <w:rPr>
              <w:rStyle w:val="C3"/>
              <w:rFonts w:ascii="Arial" w:hAnsi="Arial"/>
              <w:color w:val="595959"/>
              <w:sz w:val="22"/>
            </w:rPr>
            <w:t>www.stat.gov.rs</w:t>
          </w:r>
        </w:p>
        <w:p>
          <w:pPr>
            <w:pStyle w:val="P1"/>
            <w:jc w:val="right"/>
            <w:rPr>
              <w:rStyle w:val="C3"/>
              <w:rFonts w:ascii="Arial" w:hAnsi="Arial"/>
              <w:color w:val="595959"/>
              <w:sz w:val="22"/>
            </w:rPr>
          </w:pPr>
          <w:r>
            <w:rPr>
              <w:rStyle w:val="C3"/>
              <w:rFonts w:ascii="Arial" w:hAnsi="Arial"/>
              <w:color w:val="595959"/>
              <w:sz w:val="22"/>
            </w:rPr>
            <w:t>stat@stat.gov.rs</w:t>
          </w:r>
        </w:p>
      </w:tc>
    </w:tr>
  </w:tbl>
  <w:p>
    <w:pPr>
      <w:pStyle w:val="P1"/>
      <w:rPr>
        <w:rStyle w:val="C3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Borders>
        <w:top w:val="none" w:sz="0" w:space="0" w:shadow="0" w:frame="0"/>
        <w:left w:val="none" w:sz="0" w:space="0" w:shadow="0" w:frame="0"/>
        <w:bottom w:val="none" w:sz="0" w:space="0" w:shadow="0" w:frame="0"/>
        <w:right w:val="none" w:sz="0" w:space="0" w:shadow="0" w:frame="0"/>
        <w:insideH w:val="single" w:sz="4" w:space="0" w:shadow="0" w:frame="0"/>
        <w:insideV w:val="none" w:sz="0" w:space="0" w:shadow="0" w:frame="0"/>
      </w:tblBorders>
      <w:tblLayout w:type="fixed"/>
    </w:tblPr>
    <w:tblGrid/>
    <w:tr>
      <w:tc>
        <w:tcPr>
          <w:tcW w:w="3708" w:type="dxa"/>
        </w:tcPr>
        <w:p>
          <w:pPr>
            <w:pStyle w:val="P1"/>
            <w:rPr>
              <w:rStyle w:val="C3"/>
              <w:rFonts w:ascii="Tahoma" w:hAnsi="Tahoma"/>
              <w:sz w:val="20"/>
            </w:rPr>
          </w:pPr>
        </w:p>
      </w:tc>
      <w:tc>
        <w:tcPr>
          <w:tcW w:w="6588" w:type="dxa"/>
        </w:tcPr>
        <w:p>
          <w:pPr>
            <w:pStyle w:val="P1"/>
            <w:jc w:val="right"/>
            <w:rPr>
              <w:rStyle w:val="C3"/>
              <w:rFonts w:ascii="Tahoma" w:hAnsi="Tahoma"/>
              <w:sz w:val="22"/>
            </w:rPr>
          </w:pPr>
          <w:r>
            <w:rPr>
              <w:rStyle w:val="C3"/>
              <w:rFonts w:ascii="Tahoma" w:hAnsi="Tahoma"/>
              <w:sz w:val="22"/>
            </w:rPr>
            <w:t xml:space="preserve">Саопштење за јавност </w:t>
          </w:r>
        </w:p>
        <w:p>
          <w:pPr>
            <w:pStyle w:val="P1"/>
            <w:jc w:val="right"/>
            <w:rPr>
              <w:rStyle w:val="C3"/>
              <w:rFonts w:ascii="Tahoma" w:hAnsi="Tahoma"/>
            </w:rPr>
          </w:pPr>
        </w:p>
        <w:p>
          <w:pPr>
            <w:pStyle w:val="P1"/>
            <w:jc w:val="right"/>
            <w:rPr>
              <w:rStyle w:val="C3"/>
              <w:rFonts w:ascii="Tahoma" w:hAnsi="Tahoma"/>
              <w:sz w:val="20"/>
            </w:rPr>
          </w:pPr>
        </w:p>
      </w:tc>
    </w:tr>
  </w:tbl>
  <w:p>
    <w:pPr>
      <w:pStyle w:val="P1"/>
      <w:rPr>
        <w:rStyle w:val="C3"/>
      </w:rPr>
    </w:pPr>
  </w:p>
</w:hdr>
</file>

<file path=word/numbering.xml><?xml version="1.0" encoding="utf-8"?>
<w:numbering xmlns:w="http://schemas.openxmlformats.org/wordprocessingml/2006/main">
  <w:abstractNum w:abstractNumId="0">
    <w:nsid w:val="0D7C7C46"/>
    <w:multiLevelType w:val="hybridMultilevel"/>
    <w:lvl w:ilvl="0" w:tplc="07E6670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166B4D0A"/>
    <w:multiLevelType w:val="hybridMultilevel"/>
    <w:lvl w:ilvl="0" w:tplc="3E08C298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ody Text"/>
    <w:basedOn w:val="P0"/>
    <w:next w:val="P3"/>
    <w:pPr>
      <w:spacing w:after="120"/>
    </w:pPr>
    <w:rPr/>
  </w:style>
  <w:style w:type="paragraph" w:styleId="P4">
    <w:name w:val=" Char Char Char Char"/>
    <w:basedOn w:val="P0"/>
    <w:next w:val="P4"/>
    <w:link w:val="C3"/>
    <w:pPr>
      <w:spacing w:lineRule="exact" w:line="240" w:after="160"/>
    </w:pPr>
    <w:rPr>
      <w:rFonts w:ascii="Verdana" w:hAnsi="Verdana"/>
      <w:i w:val="1"/>
      <w:sz w:val="20"/>
    </w:rPr>
  </w:style>
  <w:style w:type="paragraph" w:styleId="P5">
    <w:name w:val="Normal (Web)"/>
    <w:basedOn w:val="P0"/>
    <w:next w:val="P5"/>
    <w:pPr>
      <w:spacing w:before="100" w:after="100" w:beforeAutospacing="1" w:afterAutospacing="1"/>
    </w:pPr>
    <w:rPr/>
  </w:style>
  <w:style w:type="paragraph" w:styleId="P6">
    <w:name w:val="Balloon Text"/>
    <w:basedOn w:val="P0"/>
    <w:next w:val="P6"/>
    <w:link w:val="C4"/>
    <w:pPr/>
    <w:rPr>
      <w:rFonts w:ascii="Segoe UI" w:hAnsi="Segoe UI"/>
      <w:sz w:val="18"/>
    </w:rPr>
  </w:style>
  <w:style w:type="paragraph" w:styleId="P7">
    <w:name w:val="Footnote Text"/>
    <w:basedOn w:val="P0"/>
    <w:next w:val="P7"/>
    <w:link w:val="C5"/>
    <w:pPr/>
    <w:rPr>
      <w:rFonts w:ascii="Calibri" w:hAnsi="Calibri"/>
      <w:sz w:val="20"/>
    </w:rPr>
  </w:style>
  <w:style w:type="paragraph" w:styleId="P8">
    <w:name w:val="Comment Text"/>
    <w:basedOn w:val="P0"/>
    <w:next w:val="P8"/>
    <w:link w:val="C9"/>
    <w:pPr/>
    <w:rPr>
      <w:sz w:val="20"/>
    </w:rPr>
  </w:style>
  <w:style w:type="paragraph" w:styleId="P9">
    <w:name w:val="Comment Subject"/>
    <w:basedOn w:val="P8"/>
    <w:next w:val="P8"/>
    <w:link w:val="C10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Default Paragraph Font"/>
    <w:aliases w:val=" Char Char Char Char Char Char"/>
    <w:link w:val="P4"/>
    <w:rPr>
      <w:rFonts w:ascii="Verdana" w:hAnsi="Verdana"/>
      <w:i w:val="1"/>
      <w:sz w:val="20"/>
    </w:rPr>
  </w:style>
  <w:style w:type="character" w:styleId="C4">
    <w:name w:val="Balloon Text Char"/>
    <w:link w:val="P6"/>
    <w:rPr>
      <w:rFonts w:ascii="Segoe UI" w:hAnsi="Segoe UI"/>
      <w:sz w:val="18"/>
    </w:rPr>
  </w:style>
  <w:style w:type="character" w:styleId="C5">
    <w:name w:val="Footnote Text Char"/>
    <w:link w:val="P7"/>
    <w:rPr>
      <w:rFonts w:ascii="Calibri" w:hAnsi="Calibri"/>
      <w:sz w:val="20"/>
    </w:rPr>
  </w:style>
  <w:style w:type="character" w:styleId="C6">
    <w:name w:val="Footnote Reference"/>
    <w:rPr>
      <w:vertAlign w:val="superscript"/>
    </w:rPr>
  </w:style>
  <w:style w:type="character" w:styleId="C7">
    <w:name w:val="FollowedHyperlink"/>
    <w:rPr>
      <w:color w:val="954F72"/>
      <w:u w:val="single"/>
    </w:rPr>
  </w:style>
  <w:style w:type="character" w:styleId="C8">
    <w:name w:val="Comment Reference"/>
    <w:rPr>
      <w:sz w:val="16"/>
    </w:rPr>
  </w:style>
  <w:style w:type="character" w:styleId="C9">
    <w:name w:val="Comment Text Char"/>
    <w:link w:val="P8"/>
    <w:rPr>
      <w:sz w:val="20"/>
    </w:rPr>
  </w:style>
  <w:style w:type="character" w:styleId="C10">
    <w:name w:val="Comment Subject Char"/>
    <w:link w:val="P9"/>
    <w:rPr>
      <w:b w:val="1"/>
    </w:rPr>
  </w:style>
  <w:style w:type="character" w:styleId="C11">
    <w:name w:val="Page Number"/>
    <w:basedOn w:val="C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Aleksandra Danilovic</dc:creator>
  <dcterms:created xsi:type="dcterms:W3CDTF">2016-11-28T13:32:00Z</dcterms:created>
  <cp:lastModifiedBy>Nikola Kapetanovic</cp:lastModifiedBy>
  <cp:lastPrinted>2016-02-29T09:17:00Z</cp:lastPrinted>
  <dcterms:modified xsi:type="dcterms:W3CDTF">2020-01-10T11:21:49Z</dcterms:modified>
  <cp:revision>3</cp:revision>
  <dc:title>16</dc:title>
</cp:coreProperties>
</file>