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C53B433" Type="http://schemas.openxmlformats.org/officeDocument/2006/relationships/officeDocument" Target="/word/document.xml" /><Relationship Id="coreR4C53B43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tbl>
      <w:tblPr>
        <w:tblStyle w:val="T2"/>
        <w:tblW w:w="0" w:type="auto"/>
        <w:tblBorders>
          <w:top w:val="none" w:sz="0" w:space="0" w:shadow="0" w:frame="0"/>
          <w:left w:val="none" w:sz="0" w:space="0" w:shadow="0" w:frame="0"/>
          <w:bottom w:val="none" w:sz="0" w:space="0" w:shadow="0" w:frame="0"/>
          <w:right w:val="none" w:sz="0" w:space="0" w:shadow="0" w:frame="0"/>
          <w:insideH w:val="single" w:sz="4" w:space="0" w:shadow="0" w:frame="0"/>
          <w:insideV w:val="single" w:sz="4" w:space="0" w:shadow="0" w:frame="0"/>
        </w:tblBorders>
        <w:tblLayout w:type="autofit"/>
      </w:tblPr>
      <w:tblGrid/>
      <w:tr>
        <w:tc>
          <w:tcPr>
            <w:tcW w:w="10296" w:type="dxa"/>
          </w:tcPr>
          <w:p>
            <w:pPr>
              <w:jc w:val="right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19.09.2016.</w:t>
            </w:r>
          </w:p>
          <w:tbl>
            <w:tblPr>
              <w:tblStyle w:val="T2"/>
              <w:tblW w:w="0" w:type="auto"/>
              <w:tblBorders>
                <w:top w:val="single" w:sz="4" w:space="0" w:shadow="0" w:frame="0"/>
                <w:left w:val="single" w:sz="4" w:space="0" w:shadow="0" w:frame="0"/>
                <w:bottom w:val="single" w:sz="4" w:space="0" w:shadow="0" w:frame="0"/>
                <w:right w:val="single" w:sz="4" w:space="0" w:shadow="0" w:frame="0"/>
                <w:insideH w:val="single" w:sz="4" w:space="0" w:shadow="0" w:frame="0"/>
                <w:insideV w:val="single" w:sz="4" w:space="0" w:shadow="0" w:frame="0"/>
              </w:tblBorders>
              <w:tblLayout w:type="autofit"/>
            </w:tblPr>
            <w:tblGrid/>
            <w:tr>
              <w:tc>
                <w:tcPr>
                  <w:tcW w:w="10065" w:type="dxa"/>
                  <w:tcBorders>
                    <w:top w:val="none" w:sz="0" w:space="0" w:shadow="0" w:frame="0"/>
                    <w:left w:val="none" w:sz="0" w:space="0" w:shadow="0" w:frame="0"/>
                    <w:bottom w:val="none" w:sz="0" w:space="0" w:shadow="0" w:frame="0"/>
                    <w:right w:val="none" w:sz="0" w:space="0" w:shadow="0" w:frame="0"/>
                  </w:tcBorders>
                </w:tcPr>
                <w:p>
                  <w:pPr>
                    <w:jc w:val="center"/>
                    <w:rPr>
                      <w:rFonts w:ascii="Tahoma" w:hAnsi="Tahoma"/>
                      <w:color w:val="333333"/>
                    </w:rPr>
                  </w:pPr>
                </w:p>
                <w:p>
                  <w:pPr>
                    <w:jc w:val="center"/>
                    <w:rPr>
                      <w:rFonts w:ascii="Tahoma" w:hAnsi="Tahoma"/>
                      <w:color w:val="333333"/>
                    </w:rPr>
                  </w:pPr>
                </w:p>
                <w:p>
                  <w:pPr>
                    <w:jc w:val="center"/>
                    <w:rPr>
                      <w:rFonts w:ascii="Tahoma" w:hAnsi="Tahoma"/>
                      <w:color w:val="333333"/>
                    </w:rPr>
                  </w:pPr>
                </w:p>
                <w:p>
                  <w:pPr>
                    <w:jc w:val="center"/>
                    <w:rPr>
                      <w:rFonts w:ascii="Tahoma" w:hAnsi="Tahoma"/>
                      <w:color w:val="333333"/>
                    </w:rPr>
                  </w:pPr>
                </w:p>
                <w:p>
                  <w:pPr>
                    <w:jc w:val="center"/>
                    <w:rPr>
                      <w:rFonts w:ascii="Tahoma" w:hAnsi="Tahoma"/>
                      <w:color w:val="333333"/>
                    </w:rPr>
                  </w:pPr>
                </w:p>
                <w:p>
                  <w:pPr>
                    <w:jc w:val="center"/>
                    <w:rPr>
                      <w:rFonts w:ascii="Tahoma" w:hAnsi="Tahoma"/>
                      <w:color w:val="333333"/>
                    </w:rPr>
                  </w:pPr>
                </w:p>
                <w:p>
                  <w:pPr>
                    <w:jc w:val="center"/>
                    <w:rPr>
                      <w:rFonts w:ascii="Tahoma" w:hAnsi="Tahoma"/>
                      <w:color w:val="333333"/>
                    </w:rPr>
                  </w:pPr>
                </w:p>
                <w:p>
                  <w:pPr>
                    <w:jc w:val="center"/>
                    <w:rPr>
                      <w:rFonts w:ascii="Tahoma" w:hAnsi="Tahoma"/>
                      <w:i w:val="1"/>
                      <w:color w:val="333333"/>
                    </w:rPr>
                  </w:pPr>
                  <w:r>
                    <w:rPr>
                      <w:rFonts w:ascii="Tahoma" w:hAnsi="Tahoma"/>
                      <w:color w:val="333333"/>
                    </w:rPr>
                    <w:t xml:space="preserve">Економски рачуни  пољопривредe у Републици Србији, 2007-2015.</w:t>
                  </w:r>
                </w:p>
                <w:p>
                  <w:pPr>
                    <w:jc w:val="center"/>
                    <w:rPr>
                      <w:rFonts w:ascii="Tahoma" w:hAnsi="Tahoma"/>
                      <w:color w:val="333333"/>
                    </w:rPr>
                  </w:pPr>
                </w:p>
                <w:p>
                  <w:pPr>
                    <w:jc w:val="center"/>
                    <w:rPr>
                      <w:rFonts w:ascii="Tahoma" w:hAnsi="Tahoma"/>
                      <w:color w:val="333333"/>
                    </w:rPr>
                  </w:pPr>
                </w:p>
                <w:p>
                  <w:pPr>
                    <w:jc w:val="center"/>
                    <w:rPr>
                      <w:rFonts w:ascii="Tahoma" w:hAnsi="Tahoma"/>
                      <w:color w:val="333333"/>
                    </w:rPr>
                  </w:pPr>
                </w:p>
                <w:p>
                  <w:pPr>
                    <w:jc w:val="center"/>
                    <w:rPr>
                      <w:rFonts w:ascii="Tahoma" w:hAnsi="Tahoma"/>
                      <w:color w:val="333333"/>
                    </w:rPr>
                  </w:pPr>
                </w:p>
              </w:tc>
            </w:tr>
          </w:tbl>
          <w:p>
            <w:pPr>
              <w:jc w:val="both"/>
              <w:rPr>
                <w:rFonts w:ascii="Tahoma" w:hAnsi="Tahoma"/>
              </w:rPr>
            </w:pPr>
          </w:p>
          <w:p>
            <w:pPr>
              <w:jc w:val="both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Републички завод за статистику објављује радни документ „Економски рачуни пољопривреде у Републици Србији, 2007-2015“.</w:t>
            </w:r>
          </w:p>
          <w:p>
            <w:pPr>
              <w:jc w:val="both"/>
              <w:rPr>
                <w:rFonts w:ascii="Tahoma" w:hAnsi="Tahoma"/>
                <w:sz w:val="20"/>
              </w:rPr>
            </w:pPr>
          </w:p>
          <w:p>
            <w:pPr>
              <w:jc w:val="both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У радном документу приказани су резултати обрачуна економских рачуна пољопривреде за период од 2007. до 2015. године.</w:t>
            </w:r>
          </w:p>
        </w:tc>
      </w:tr>
    </w:tbl>
    <w:p>
      <w:pPr>
        <w:jc w:val="both"/>
        <w:rPr>
          <w:rFonts w:ascii="Tahoma" w:hAnsi="Tahoma"/>
          <w:sz w:val="20"/>
        </w:rPr>
      </w:pPr>
    </w:p>
    <w:p>
      <w:pPr>
        <w:jc w:val="both"/>
        <w:rPr>
          <w:rFonts w:ascii="Tahoma" w:hAnsi="Tahoma"/>
          <w:sz w:val="20"/>
        </w:rPr>
      </w:pPr>
      <w:r>
        <w:rPr>
          <w:rFonts w:ascii="Tahoma" w:hAnsi="Tahoma"/>
          <w:sz w:val="20"/>
        </w:rPr>
        <w:t>У посматраном периоду остварен је кумулативни раст БДВ-а пољопривреде од 13,4%, док је просечна годишња стопа раста износила 1,6%. Такође физички обим пољопривредне производње значајно је варирао услед неповољних климатских утицаја.</w:t>
      </w:r>
    </w:p>
    <w:p>
      <w:pPr>
        <w:jc w:val="both"/>
        <w:rPr>
          <w:rFonts w:ascii="Tahoma" w:hAnsi="Tahoma"/>
          <w:sz w:val="20"/>
        </w:rPr>
      </w:pPr>
    </w:p>
    <w:p>
      <w:pPr>
        <w:jc w:val="both"/>
        <w:rPr>
          <w:rFonts w:ascii="Tahoma" w:hAnsi="Tahoma"/>
          <w:sz w:val="20"/>
        </w:rPr>
      </w:pPr>
      <w:r>
        <w:rPr>
          <w:rFonts w:ascii="Tahoma" w:hAnsi="Tahoma"/>
          <w:sz w:val="20"/>
        </w:rPr>
        <w:t>У 2008. години обим производње пољопривредних добара порастао је за 10,6%. Након тога следи период слабијег раста обима, да би у 2012. години пао за 17,2%. У 2013. години забележен је највећи раст у посматраном периоду (16,5%), да би у 2015. години био забележен пад од 6,5%.</w:t>
      </w:r>
    </w:p>
    <w:p>
      <w:pPr>
        <w:jc w:val="both"/>
        <w:rPr>
          <w:rFonts w:ascii="Tahoma" w:hAnsi="Tahoma"/>
          <w:sz w:val="20"/>
        </w:rPr>
      </w:pPr>
    </w:p>
    <w:p>
      <w:pPr>
        <w:jc w:val="both"/>
        <w:rPr>
          <w:rFonts w:ascii="Tahoma" w:hAnsi="Tahoma"/>
          <w:sz w:val="20"/>
        </w:rPr>
      </w:pPr>
    </w:p>
    <w:p>
      <w:pPr>
        <w:jc w:val="both"/>
        <w:rPr>
          <w:rFonts w:ascii="Tahoma" w:hAnsi="Tahoma"/>
          <w:sz w:val="20"/>
          <w:u w:val="single"/>
        </w:rPr>
      </w:pPr>
      <w:r>
        <w:rPr>
          <w:rFonts w:ascii="Tahoma" w:hAnsi="Tahoma"/>
          <w:sz w:val="20"/>
        </w:rPr>
        <w:t xml:space="preserve">Радни документ је доступан на сајту Републичког завода за статистику: </w:t>
      </w:r>
      <w:r>
        <w:rPr>
          <w:rFonts w:ascii="Tahoma" w:hAnsi="Tahoma"/>
          <w:sz w:val="20"/>
          <w:u w:val="single"/>
        </w:rPr>
        <w:t>http://webrzs.stat.gov.rs/WebSite/</w:t>
      </w:r>
    </w:p>
    <w:p>
      <w:pPr>
        <w:rPr>
          <w:u w:val="single"/>
        </w:rPr>
      </w:pPr>
    </w:p>
    <w:p/>
    <w:p/>
    <w:p/>
    <w:p/>
    <w:p/>
    <w:p/>
    <w:p/>
    <w:p/>
    <w:sectPr>
      <w:headerReference xmlns:r="http://schemas.openxmlformats.org/officeDocument/2006/relationships" w:type="first" r:id="RelHdr1"/>
      <w:headerReference xmlns:r="http://schemas.openxmlformats.org/officeDocument/2006/relationships" w:type="default" r:id="RelHdr2"/>
      <w:footerReference xmlns:r="http://schemas.openxmlformats.org/officeDocument/2006/relationships" w:type="first" r:id="RelFtr1"/>
      <w:footerReference xmlns:r="http://schemas.openxmlformats.org/officeDocument/2006/relationships" w:type="default" r:id="RelFtr2"/>
      <w:type w:val="nextPage"/>
      <w:pgMar w:left="1080" w:right="1080" w:top="360" w:bottom="180" w:header="432" w:footer="0" w:gutter="0"/>
      <w:cols w:equalWidth="1" w:space="720"/>
      <w:vAlign w:val="both"/>
      <w:titlePg w:val="1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tbl>
    <w:tblPr>
      <w:tblStyle w:val="T2"/>
      <w:tblW w:w="11268" w:type="dxa"/>
      <w:tblLayout w:type="autofit"/>
    </w:tblPr>
    <w:tblGrid/>
    <w:tr>
      <w:tc>
        <w:tcPr>
          <w:tcW w:w="5868" w:type="dxa"/>
        </w:tcPr>
        <w:p>
          <w:pPr>
            <w:jc w:val="both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>Контакт:</w:t>
          </w:r>
        </w:p>
        <w:p>
          <w:pPr>
            <w:jc w:val="both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>Ивана Лалић</w:t>
          </w:r>
        </w:p>
        <w:p>
          <w:pPr>
            <w:jc w:val="both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 xml:space="preserve">Одсек  за сателитске рачуне</w:t>
          </w:r>
        </w:p>
        <w:p>
          <w:pPr>
            <w:jc w:val="both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>тел: +381 11 2412-922, локал 237</w:t>
          </w:r>
        </w:p>
        <w:p>
          <w:pPr>
            <w:jc w:val="both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>ivana.lalic@stat.gov.rs</w:t>
          </w:r>
        </w:p>
        <w:p>
          <w:pPr>
            <w:jc w:val="both"/>
            <w:rPr>
              <w:rFonts w:ascii="Tahoma" w:hAnsi="Tahoma"/>
              <w:sz w:val="20"/>
            </w:rPr>
          </w:pPr>
        </w:p>
        <w:p>
          <w:pPr>
            <w:jc w:val="both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 xml:space="preserve">Група за информисање и дисеминацију </w:t>
          </w:r>
        </w:p>
        <w:p>
          <w:pPr>
            <w:jc w:val="both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>тел: +381 11 2401-284</w:t>
          </w:r>
        </w:p>
        <w:p>
          <w:pPr>
            <w:jc w:val="both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>stat@stat.gov.rs</w:t>
          </w:r>
        </w:p>
        <w:p>
          <w:pPr>
            <w:jc w:val="both"/>
            <w:rPr>
              <w:rFonts w:ascii="Tahoma" w:hAnsi="Tahoma"/>
              <w:sz w:val="22"/>
            </w:rPr>
          </w:pPr>
        </w:p>
      </w:tc>
      <w:tc>
        <w:tcPr>
          <w:tcW w:w="5400" w:type="dxa"/>
        </w:tcPr>
        <w:p>
          <w:pPr>
            <w:jc w:val="center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>Директор</w:t>
          </w:r>
        </w:p>
        <w:p>
          <w:pPr>
            <w:ind w:left="972"/>
            <w:jc w:val="both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 xml:space="preserve">        Др Миладин Ковачевић</w:t>
          </w:r>
        </w:p>
        <w:p>
          <w:pPr>
            <w:jc w:val="both"/>
            <w:rPr>
              <w:rFonts w:ascii="Tahoma" w:hAnsi="Tahoma"/>
              <w:color w:val="808080"/>
              <w:sz w:val="20"/>
            </w:rPr>
          </w:pPr>
        </w:p>
        <w:p>
          <w:pPr>
            <w:jc w:val="both"/>
            <w:rPr>
              <w:rFonts w:ascii="Tahoma" w:hAnsi="Tahoma"/>
              <w:sz w:val="20"/>
            </w:rPr>
          </w:pPr>
        </w:p>
      </w:tc>
    </w:tr>
  </w:tbl>
  <w:p>
    <w:pPr>
      <w:jc w:val="both"/>
      <w:rPr>
        <w:rFonts w:ascii="Tahoma" w:hAnsi="Tahoma"/>
        <w:color w:val="333333"/>
        <w:sz w:val="16"/>
      </w:rPr>
    </w:pPr>
    <w:r>
      <w:rPr>
        <w:rFonts w:ascii="Tahoma" w:hAnsi="Tahoma"/>
        <w:color w:val="333333"/>
        <w:sz w:val="16"/>
        <w:vertAlign w:val="superscript"/>
      </w:rPr>
      <w:t xml:space="preserve">1) </w:t>
    </w:r>
    <w:r>
      <w:rPr>
        <w:rFonts w:ascii="Tahoma" w:hAnsi="Tahoma"/>
        <w:color w:val="333333"/>
        <w:sz w:val="16"/>
      </w:rPr>
      <w:t>Републички завод за статистику од 1999. године не располаже подацима за АП Косово и Метохија, тако да они нису садржани у обухвату података за Републику Србију (укупно).</w:t>
    </w:r>
  </w:p>
  <w:p>
    <w:pPr>
      <w:pStyle w:val="P2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tbl>
    <w:tblPr>
      <w:tblStyle w:val="T2"/>
      <w:tblW w:w="0" w:type="auto"/>
      <w:tblLayout w:type="autofit"/>
    </w:tblPr>
    <w:tblGrid/>
    <w:tr>
      <w:tc>
        <w:tcPr>
          <w:tcW w:w="4788" w:type="dxa"/>
        </w:tcPr>
        <w:p>
          <w:pPr>
            <w:jc w:val="both"/>
            <w:rPr>
              <w:rFonts w:ascii="Tahoma" w:hAnsi="Tahoma"/>
              <w:color w:val="333333"/>
              <w:sz w:val="22"/>
            </w:rPr>
          </w:pPr>
        </w:p>
      </w:tc>
      <w:tc>
        <w:tcPr>
          <w:tcW w:w="5400" w:type="dxa"/>
        </w:tcPr>
        <w:p>
          <w:pPr>
            <w:rPr>
              <w:rFonts w:ascii="Tahoma" w:hAnsi="Tahoma"/>
              <w:color w:val="333333"/>
              <w:sz w:val="22"/>
            </w:rPr>
          </w:pPr>
        </w:p>
      </w:tc>
    </w:tr>
    <w:tr>
      <w:tblPrEx>
        <w:tblW w:w="0" w:type="auto"/>
        <w:tblBorders>
          <w:top w:val="single" w:sz="4" w:space="0" w:shadow="0" w:frame="0"/>
          <w:left w:val="single" w:sz="4" w:space="0" w:shadow="0" w:frame="0"/>
          <w:bottom w:val="single" w:sz="4" w:space="0" w:shadow="0" w:frame="0"/>
          <w:right w:val="single" w:sz="4" w:space="0" w:shadow="0" w:frame="0"/>
          <w:insideH w:val="single" w:sz="4" w:space="0" w:shadow="0" w:frame="0"/>
          <w:insideV w:val="single" w:sz="4" w:space="0" w:shadow="0" w:frame="0"/>
        </w:tblBorders>
        <w:tblLayout w:type="autofit"/>
      </w:tblPrEx>
      <w:tc>
        <w:tcPr>
          <w:tcW w:w="4788" w:type="dxa"/>
          <w:tcBorders>
            <w:top w:val="none" w:sz="0" w:space="0" w:shadow="0" w:frame="0"/>
            <w:left w:val="none" w:sz="0" w:space="0" w:shadow="0" w:frame="0"/>
            <w:bottom w:val="none" w:sz="0" w:space="0" w:shadow="0" w:frame="0"/>
            <w:right w:val="none" w:sz="0" w:space="0" w:shadow="0" w:frame="0"/>
          </w:tcBorders>
        </w:tcPr>
        <w:p>
          <w:pPr>
            <w:jc w:val="both"/>
            <w:rPr>
              <w:rFonts w:ascii="Tahoma" w:hAnsi="Tahoma"/>
              <w:sz w:val="22"/>
            </w:rPr>
          </w:pPr>
        </w:p>
      </w:tc>
      <w:tc>
        <w:tcPr>
          <w:tcW w:w="5400" w:type="dxa"/>
          <w:tcBorders>
            <w:top w:val="none" w:sz="0" w:space="0" w:shadow="0" w:frame="0"/>
            <w:left w:val="none" w:sz="0" w:space="0" w:shadow="0" w:frame="0"/>
            <w:bottom w:val="none" w:sz="0" w:space="0" w:shadow="0" w:frame="0"/>
            <w:right w:val="none" w:sz="0" w:space="0" w:shadow="0" w:frame="0"/>
          </w:tcBorders>
        </w:tcPr>
        <w:p>
          <w:pPr>
            <w:ind w:left="972"/>
            <w:jc w:val="both"/>
            <w:rPr>
              <w:rFonts w:ascii="Tahoma" w:hAnsi="Tahoma"/>
              <w:sz w:val="20"/>
            </w:rPr>
          </w:pPr>
        </w:p>
      </w:tc>
    </w:tr>
  </w:tbl>
  <w:p>
    <w:pPr>
      <w:pStyle w:val="P2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tbl>
    <w:tblPr>
      <w:tblStyle w:val="T2"/>
      <w:tblW w:w="0" w:type="auto"/>
      <w:tblBorders>
        <w:top w:val="none" w:sz="0" w:space="0" w:shadow="0" w:frame="0"/>
        <w:left w:val="none" w:sz="0" w:space="0" w:shadow="0" w:frame="0"/>
        <w:bottom w:val="none" w:sz="0" w:space="0" w:shadow="0" w:frame="0"/>
        <w:right w:val="none" w:sz="0" w:space="0" w:shadow="0" w:frame="0"/>
        <w:insideH w:val="single" w:sz="4" w:space="0" w:shadow="0" w:frame="0"/>
        <w:insideV w:val="none" w:sz="0" w:space="0" w:shadow="0" w:frame="0"/>
      </w:tblBorders>
      <w:tblLayout w:type="fixed"/>
    </w:tblPr>
    <w:tblGrid/>
    <w:tr>
      <w:tc>
        <w:tcPr>
          <w:tcW w:w="3708" w:type="dxa"/>
        </w:tcPr>
        <w:p>
          <w:pPr>
            <w:pStyle w:val="P1"/>
            <w:ind w:right="972"/>
            <w:rPr>
              <w:rFonts w:ascii="Tahoma" w:hAnsi="Tahoma"/>
              <w:sz w:val="20"/>
            </w:rPr>
          </w:pPr>
          <w:r>
            <w:drawing>
              <wp:inline xmlns:wp="http://schemas.openxmlformats.org/drawingml/2006/wordprocessingDrawing">
                <wp:extent cx="1564005" cy="709930"/>
                <wp:docPr id="1" name="Picture 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xmlns:r="http://schemas.openxmlformats.org/officeDocument/2006/relationships" r:embed="Relimage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4005" cy="709930"/>
                        </a:xfrm>
                        <a:prstGeom prst="rect"/>
                        <a:noFill/>
                      </pic:spPr>
                    </pic:pic>
                  </a:graphicData>
                </a:graphic>
              </wp:inline>
            </w:drawing>
          </w:r>
          <w:r>
            <w:rPr>
              <w:rFonts w:ascii="Tahoma" w:hAnsi="Tahoma"/>
              <w:sz w:val="20"/>
            </w:rPr>
            <w:t xml:space="preserve"> Република Србија</w:t>
          </w:r>
        </w:p>
        <w:p>
          <w:pPr>
            <w:pStyle w:val="P1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>Републички завод за статистику</w:t>
          </w:r>
        </w:p>
      </w:tc>
      <w:tc>
        <w:tcPr>
          <w:tcW w:w="6588" w:type="dxa"/>
        </w:tcPr>
        <w:p>
          <w:pPr>
            <w:pStyle w:val="P1"/>
            <w:jc w:val="right"/>
            <w:rPr>
              <w:rFonts w:ascii="Tahoma" w:hAnsi="Tahoma"/>
              <w:sz w:val="32"/>
            </w:rPr>
          </w:pPr>
          <w:r>
            <w:rPr>
              <w:rFonts w:ascii="Tahoma" w:hAnsi="Tahoma"/>
              <w:sz w:val="32"/>
            </w:rPr>
            <w:t>Саопштење за јавност</w:t>
          </w:r>
        </w:p>
        <w:p>
          <w:pPr>
            <w:pStyle w:val="P1"/>
            <w:jc w:val="right"/>
            <w:rPr>
              <w:rFonts w:ascii="Tahoma" w:hAnsi="Tahoma"/>
            </w:rPr>
          </w:pPr>
        </w:p>
        <w:p>
          <w:pPr>
            <w:pStyle w:val="P1"/>
            <w:jc w:val="right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>Београд, Милана Ракића 5</w:t>
          </w:r>
        </w:p>
        <w:p>
          <w:pPr>
            <w:pStyle w:val="P1"/>
            <w:jc w:val="right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>телефон +381 11 2412-922</w:t>
          </w:r>
        </w:p>
        <w:p>
          <w:pPr>
            <w:pStyle w:val="P1"/>
            <w:jc w:val="right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>www.stat.gov.rs</w:t>
          </w:r>
        </w:p>
        <w:p>
          <w:pPr>
            <w:pStyle w:val="P1"/>
            <w:jc w:val="right"/>
            <w:rPr>
              <w:rFonts w:ascii="Tahoma" w:hAnsi="Tahoma"/>
              <w:sz w:val="20"/>
            </w:rPr>
          </w:pPr>
          <w:r>
            <w:rPr>
              <w:rFonts w:ascii="Tahoma" w:hAnsi="Tahoma"/>
              <w:sz w:val="20"/>
            </w:rPr>
            <w:t>stat@stat.gov.rs</w:t>
          </w:r>
        </w:p>
      </w:tc>
    </w:tr>
  </w:tbl>
  <w:p>
    <w:pPr>
      <w:pStyle w:val="P1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tbl>
    <w:tblPr>
      <w:tblStyle w:val="T2"/>
      <w:tblW w:w="0" w:type="auto"/>
      <w:tblBorders>
        <w:top w:val="none" w:sz="0" w:space="0" w:shadow="0" w:frame="0"/>
        <w:left w:val="none" w:sz="0" w:space="0" w:shadow="0" w:frame="0"/>
        <w:bottom w:val="none" w:sz="0" w:space="0" w:shadow="0" w:frame="0"/>
        <w:right w:val="none" w:sz="0" w:space="0" w:shadow="0" w:frame="0"/>
        <w:insideH w:val="single" w:sz="4" w:space="0" w:shadow="0" w:frame="0"/>
        <w:insideV w:val="none" w:sz="0" w:space="0" w:shadow="0" w:frame="0"/>
      </w:tblBorders>
      <w:tblLayout w:type="fixed"/>
    </w:tblPr>
    <w:tblGrid/>
    <w:tr>
      <w:tc>
        <w:tcPr>
          <w:tcW w:w="3708" w:type="dxa"/>
        </w:tcPr>
        <w:p>
          <w:pPr>
            <w:pStyle w:val="P1"/>
            <w:rPr>
              <w:rFonts w:ascii="Tahoma" w:hAnsi="Tahoma"/>
              <w:sz w:val="20"/>
            </w:rPr>
          </w:pPr>
        </w:p>
      </w:tc>
      <w:tc>
        <w:tcPr>
          <w:tcW w:w="6588" w:type="dxa"/>
        </w:tcPr>
        <w:p>
          <w:pPr>
            <w:pStyle w:val="P1"/>
            <w:jc w:val="right"/>
            <w:rPr>
              <w:rFonts w:ascii="Tahoma" w:hAnsi="Tahoma"/>
              <w:sz w:val="22"/>
            </w:rPr>
          </w:pPr>
          <w:r>
            <w:rPr>
              <w:rFonts w:ascii="Tahoma" w:hAnsi="Tahoma"/>
              <w:sz w:val="22"/>
            </w:rPr>
            <w:t xml:space="preserve">Саопштење за јавност страна </w:t>
          </w:r>
          <w:r>
            <w:rPr>
              <w:rFonts w:ascii="Tahoma" w:hAnsi="Tahoma"/>
              <w:sz w:val="22"/>
            </w:rPr>
            <w:fldChar w:fldCharType="begin"/>
          </w:r>
          <w:r>
            <w:rPr>
              <w:rStyle w:val="C3"/>
              <w:rFonts w:ascii="Tahoma" w:hAnsi="Tahoma"/>
              <w:sz w:val="22"/>
            </w:rPr>
            <w:instrText xml:space="preserve"> NUMPAGES </w:instrText>
          </w:r>
          <w:r>
            <w:rPr>
              <w:rStyle w:val="C3"/>
              <w:rFonts w:ascii="Tahoma" w:hAnsi="Tahoma"/>
              <w:sz w:val="22"/>
            </w:rPr>
            <w:fldChar w:fldCharType="separate"/>
          </w:r>
          <w:r>
            <w:rPr>
              <w:rStyle w:val="C3"/>
              <w:rFonts w:ascii="Tahoma" w:hAnsi="Tahoma"/>
              <w:sz w:val="22"/>
            </w:rPr>
            <w:t>#</w:t>
          </w:r>
          <w:r>
            <w:rPr>
              <w:rStyle w:val="C3"/>
              <w:rFonts w:ascii="Tahoma" w:hAnsi="Tahoma"/>
              <w:sz w:val="22"/>
            </w:rPr>
            <w:fldChar w:fldCharType="end"/>
          </w:r>
        </w:p>
        <w:p>
          <w:pPr>
            <w:pStyle w:val="P1"/>
            <w:jc w:val="right"/>
            <w:rPr>
              <w:rFonts w:ascii="Tahoma" w:hAnsi="Tahoma"/>
            </w:rPr>
          </w:pPr>
        </w:p>
        <w:p>
          <w:pPr>
            <w:pStyle w:val="P1"/>
            <w:jc w:val="right"/>
            <w:rPr>
              <w:rFonts w:ascii="Tahoma" w:hAnsi="Tahoma"/>
              <w:sz w:val="20"/>
            </w:rPr>
          </w:pPr>
        </w:p>
      </w:tc>
    </w:tr>
  </w:tbl>
  <w:p>
    <w:pPr>
      <w:pStyle w:val="P1"/>
    </w:pPr>
  </w:p>
</w:hdr>
</file>

<file path=word/numbering.xml><?xml version="1.0" encoding="utf-8"?>
<w:numbering xmlns:w="http://schemas.openxmlformats.org/wordprocessingml/2006/main">
  <w:abstractNum w:abstractNumId="0">
    <w:nsid w:val="0D7C7C46"/>
    <w:multiLevelType w:val="hybridMultilevel"/>
    <w:lvl w:ilvl="0" w:tplc="04F25716">
      <w:start w:val="1"/>
      <w:numFmt w:val="bullet"/>
      <w:suff w:val="tab"/>
      <w:lvlText w:val=""/>
      <w:lvlJc w:val="left"/>
      <w:pPr>
        <w:ind w:hanging="360" w:left="720"/>
        <w:tabs>
          <w:tab w:val="left" w:pos="720" w:leader="none"/>
        </w:tabs>
      </w:pPr>
      <w:rPr>
        <w:rFonts w:ascii="Symbol" w:hAnsi="Symbol"/>
      </w:rPr>
    </w:lvl>
    <w:lvl w:ilvl="1">
      <w:start w:val="1"/>
      <w:numFmt w:val="decimal"/>
      <w:suff w:val="tab"/>
      <w:lvlText w:val="%2."/>
      <w:lvlJc w:val="left"/>
      <w:pPr>
        <w:ind w:hanging="360" w:left="1440"/>
        <w:tabs>
          <w:tab w:val="left" w:pos="1440" w:leader="none"/>
        </w:tabs>
      </w:pPr>
      <w:rPr/>
    </w:lvl>
    <w:lvl w:ilvl="2">
      <w:start w:val="1"/>
      <w:numFmt w:val="decimal"/>
      <w:suff w:val="tab"/>
      <w:lvlText w:val="%3."/>
      <w:lvlJc w:val="left"/>
      <w:pPr>
        <w:ind w:hanging="360" w:left="2160"/>
        <w:tabs>
          <w:tab w:val="left" w:pos="2160" w:leader="none"/>
        </w:tabs>
      </w:pPr>
      <w:rPr/>
    </w:lvl>
    <w:lvl w:ilvl="3">
      <w:start w:val="1"/>
      <w:numFmt w:val="decimal"/>
      <w:suff w:val="tab"/>
      <w:lvlText w:val="%4."/>
      <w:lvlJc w:val="left"/>
      <w:pPr>
        <w:ind w:hanging="360" w:left="2880"/>
        <w:tabs>
          <w:tab w:val="left" w:pos="2880" w:leader="none"/>
        </w:tabs>
      </w:pPr>
      <w:rPr/>
    </w:lvl>
    <w:lvl w:ilvl="4">
      <w:start w:val="1"/>
      <w:numFmt w:val="decimal"/>
      <w:suff w:val="tab"/>
      <w:lvlText w:val="%5."/>
      <w:lvlJc w:val="left"/>
      <w:pPr>
        <w:ind w:hanging="360" w:left="3600"/>
        <w:tabs>
          <w:tab w:val="left" w:pos="3600" w:leader="none"/>
        </w:tabs>
      </w:pPr>
      <w:rPr/>
    </w:lvl>
    <w:lvl w:ilvl="5">
      <w:start w:val="1"/>
      <w:numFmt w:val="decimal"/>
      <w:suff w:val="tab"/>
      <w:lvlText w:val="%6."/>
      <w:lvlJc w:val="left"/>
      <w:pPr>
        <w:ind w:hanging="360" w:left="4320"/>
        <w:tabs>
          <w:tab w:val="left" w:pos="4320" w:leader="none"/>
        </w:tabs>
      </w:pPr>
      <w:rPr/>
    </w:lvl>
    <w:lvl w:ilvl="6">
      <w:start w:val="1"/>
      <w:numFmt w:val="decimal"/>
      <w:suff w:val="tab"/>
      <w:lvlText w:val="%7."/>
      <w:lvlJc w:val="left"/>
      <w:pPr>
        <w:ind w:hanging="360" w:left="5040"/>
        <w:tabs>
          <w:tab w:val="left" w:pos="5040" w:leader="none"/>
        </w:tabs>
      </w:pPr>
      <w:rPr/>
    </w:lvl>
    <w:lvl w:ilvl="7">
      <w:start w:val="1"/>
      <w:numFmt w:val="decimal"/>
      <w:suff w:val="tab"/>
      <w:lvlText w:val="%8."/>
      <w:lvlJc w:val="left"/>
      <w:pPr>
        <w:ind w:hanging="360" w:left="5760"/>
        <w:tabs>
          <w:tab w:val="left" w:pos="5760" w:leader="none"/>
        </w:tabs>
      </w:pPr>
      <w:rPr/>
    </w:lvl>
    <w:lvl w:ilvl="8">
      <w:start w:val="1"/>
      <w:numFmt w:val="decimal"/>
      <w:suff w:val="tab"/>
      <w:lvlText w:val="%9."/>
      <w:lvlJc w:val="left"/>
      <w:pPr>
        <w:ind w:hanging="360" w:left="6480"/>
        <w:tabs>
          <w:tab w:val="left" w:pos="6480" w:leader="none"/>
        </w:tabs>
      </w:pPr>
      <w:rPr/>
    </w:lvl>
  </w:abstractNum>
  <w:abstractNum w:abstractNumId="1">
    <w:nsid w:val="166B4D0A"/>
    <w:multiLevelType w:val="hybridMultilevel"/>
    <w:lvl w:ilvl="0" w:tplc="367223DE">
      <w:start w:val="1"/>
      <w:numFmt w:val="bullet"/>
      <w:suff w:val="tab"/>
      <w:lvlText w:val=""/>
      <w:lvlJc w:val="left"/>
      <w:pPr>
        <w:ind w:hanging="360" w:left="720"/>
        <w:tabs>
          <w:tab w:val="left" w:pos="720" w:leader="none"/>
        </w:tabs>
      </w:pPr>
      <w:rPr>
        <w:rFonts w:ascii="Symbol" w:hAnsi="Symbol"/>
      </w:rPr>
    </w:lvl>
    <w:lvl w:ilvl="1">
      <w:start w:val="1"/>
      <w:numFmt w:val="decimal"/>
      <w:suff w:val="tab"/>
      <w:lvlText w:val="%2."/>
      <w:lvlJc w:val="left"/>
      <w:pPr>
        <w:ind w:hanging="360" w:left="1440"/>
        <w:tabs>
          <w:tab w:val="left" w:pos="1440" w:leader="none"/>
        </w:tabs>
      </w:pPr>
      <w:rPr/>
    </w:lvl>
    <w:lvl w:ilvl="2">
      <w:start w:val="1"/>
      <w:numFmt w:val="decimal"/>
      <w:suff w:val="tab"/>
      <w:lvlText w:val="%3."/>
      <w:lvlJc w:val="left"/>
      <w:pPr>
        <w:ind w:hanging="360" w:left="2160"/>
        <w:tabs>
          <w:tab w:val="left" w:pos="2160" w:leader="none"/>
        </w:tabs>
      </w:pPr>
      <w:rPr/>
    </w:lvl>
    <w:lvl w:ilvl="3">
      <w:start w:val="1"/>
      <w:numFmt w:val="decimal"/>
      <w:suff w:val="tab"/>
      <w:lvlText w:val="%4."/>
      <w:lvlJc w:val="left"/>
      <w:pPr>
        <w:ind w:hanging="360" w:left="2880"/>
        <w:tabs>
          <w:tab w:val="left" w:pos="2880" w:leader="none"/>
        </w:tabs>
      </w:pPr>
      <w:rPr/>
    </w:lvl>
    <w:lvl w:ilvl="4">
      <w:start w:val="1"/>
      <w:numFmt w:val="decimal"/>
      <w:suff w:val="tab"/>
      <w:lvlText w:val="%5."/>
      <w:lvlJc w:val="left"/>
      <w:pPr>
        <w:ind w:hanging="360" w:left="3600"/>
        <w:tabs>
          <w:tab w:val="left" w:pos="3600" w:leader="none"/>
        </w:tabs>
      </w:pPr>
      <w:rPr/>
    </w:lvl>
    <w:lvl w:ilvl="5">
      <w:start w:val="1"/>
      <w:numFmt w:val="decimal"/>
      <w:suff w:val="tab"/>
      <w:lvlText w:val="%6."/>
      <w:lvlJc w:val="left"/>
      <w:pPr>
        <w:ind w:hanging="360" w:left="4320"/>
        <w:tabs>
          <w:tab w:val="left" w:pos="4320" w:leader="none"/>
        </w:tabs>
      </w:pPr>
      <w:rPr/>
    </w:lvl>
    <w:lvl w:ilvl="6">
      <w:start w:val="1"/>
      <w:numFmt w:val="decimal"/>
      <w:suff w:val="tab"/>
      <w:lvlText w:val="%7."/>
      <w:lvlJc w:val="left"/>
      <w:pPr>
        <w:ind w:hanging="360" w:left="5040"/>
        <w:tabs>
          <w:tab w:val="left" w:pos="5040" w:leader="none"/>
        </w:tabs>
      </w:pPr>
      <w:rPr/>
    </w:lvl>
    <w:lvl w:ilvl="7">
      <w:start w:val="1"/>
      <w:numFmt w:val="decimal"/>
      <w:suff w:val="tab"/>
      <w:lvlText w:val="%8."/>
      <w:lvlJc w:val="left"/>
      <w:pPr>
        <w:ind w:hanging="360" w:left="5760"/>
        <w:tabs>
          <w:tab w:val="left" w:pos="5760" w:leader="none"/>
        </w:tabs>
      </w:pPr>
      <w:rPr/>
    </w:lvl>
    <w:lvl w:ilvl="8">
      <w:start w:val="1"/>
      <w:numFmt w:val="decimal"/>
      <w:suff w:val="tab"/>
      <w:lvlText w:val="%9."/>
      <w:lvlJc w:val="left"/>
      <w:pPr>
        <w:ind w:hanging="360" w:left="6480"/>
        <w:tabs>
          <w:tab w:val="left" w:pos="6480" w:leader="none"/>
        </w:tabs>
      </w:pPr>
      <w:rPr/>
    </w:lvl>
  </w:abstractNum>
  <w:num w:numId="1">
    <w:abstractNumId w:va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next w:val="P0"/>
    <w:qFormat/>
    <w:pPr/>
    <w:rPr>
      <w:sz w:val="24"/>
    </w:rPr>
  </w:style>
  <w:style w:type="paragraph" w:styleId="P1">
    <w:name w:val="Header"/>
    <w:basedOn w:val="P0"/>
    <w:next w:val="P1"/>
    <w:pPr>
      <w:tabs>
        <w:tab w:val="center" w:pos="4320" w:leader="none"/>
        <w:tab w:val="right" w:pos="8640" w:leader="none"/>
      </w:tabs>
    </w:pPr>
    <w:rPr/>
  </w:style>
  <w:style w:type="paragraph" w:styleId="P2">
    <w:name w:val="Footer"/>
    <w:basedOn w:val="P0"/>
    <w:next w:val="P2"/>
    <w:pPr>
      <w:tabs>
        <w:tab w:val="center" w:pos="4320" w:leader="none"/>
        <w:tab w:val="right" w:pos="8640" w:leader="none"/>
      </w:tabs>
    </w:pPr>
    <w:rPr/>
  </w:style>
  <w:style w:type="paragraph" w:styleId="P3">
    <w:name w:val="Body Text"/>
    <w:basedOn w:val="P0"/>
    <w:next w:val="P3"/>
    <w:pPr>
      <w:spacing w:after="120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Page Number"/>
    <w:basedOn w:val="C0"/>
    <w:rPr/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2">
    <w:name w:val="Table Normal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3">
    <w:name w:val="Table Grid"/>
    <w:basedOn w:val="T2"/>
    <w:tblPr>
      <w:tblBorders>
        <w:top w:val="single" w:sz="4" w:space="0" w:shadow="0" w:frame="0"/>
        <w:left w:val="single" w:sz="4" w:space="0" w:shadow="0" w:frame="0"/>
        <w:bottom w:val="single" w:sz="4" w:space="0" w:shadow="0" w:frame="0"/>
        <w:right w:val="single" w:sz="4" w:space="0" w:shadow="0" w:frame="0"/>
        <w:insideH w:val="single" w:sz="4" w:space="0" w:shadow="0" w:frame="0"/>
        <w:insideV w:val="single" w:sz="4" w:space="0" w:shadow="0" w:frame="0"/>
      </w:tblBorders>
    </w:tblPr>
    <w:trPr/>
    <w:tcPr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Hdr2" Type="http://schemas.openxmlformats.org/officeDocument/2006/relationships/header" Target="header2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_rels/header1.xml.rels>&#65279;<?xml version="1.0" encoding="utf-8"?><Relationships xmlns="http://schemas.openxmlformats.org/package/2006/relationships"><Relationship Id="Relimage1" Type="http://schemas.openxmlformats.org/officeDocument/2006/relationships/image" Target="/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/>
      </a:dk1>
      <a:lt1>
        <a:sysClr val="window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Aleksandra Danilovic</dc:creator>
  <dcterms:created xsi:type="dcterms:W3CDTF">2016-09-15T07:09:00Z</dcterms:created>
  <cp:lastModifiedBy>Nikola Kapetanovic</cp:lastModifiedBy>
  <cp:lastPrinted>2016-09-16T08:16:00Z</cp:lastPrinted>
  <dcterms:modified xsi:type="dcterms:W3CDTF">2020-01-10T11:21:48Z</dcterms:modified>
  <cp:revision>7</cp:revision>
  <dc:title>ДАТУМ</dc:title>
</cp:coreProperties>
</file>