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10A6799" Type="http://schemas.openxmlformats.org/officeDocument/2006/relationships/officeDocument" Target="/word/document.xml" /><Relationship Id="coreR610A679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20"/>
        <w:rPr>
          <w:rFonts w:ascii="Arial" w:hAnsi="Arial"/>
          <w:color w:val="333333"/>
          <w:sz w:val="18"/>
        </w:rPr>
      </w:pPr>
      <w:r>
        <w:rPr>
          <w:rFonts w:ascii="Arial" w:hAnsi="Arial"/>
          <w:color w:val="333333"/>
          <w:sz w:val="18"/>
        </w:rPr>
        <w:t xml:space="preserve">PRESS RELEASE                                        </w:t>
        <w:tab/>
        <w:tab/>
        <w:tab/>
        <w:tab/>
        <w:tab/>
        <w:tab/>
        <w:tab/>
        <w:t xml:space="preserve"> 31/01/2013</w:t>
      </w:r>
    </w:p>
    <w:p>
      <w:pPr>
        <w:spacing w:lineRule="auto" w:line="235" w:after="120"/>
        <w:jc w:val="center"/>
        <w:outlineLvl w:val="0"/>
        <w:rPr>
          <w:rFonts w:ascii="Arial" w:hAnsi="Arial"/>
          <w:b w:val="0"/>
          <w:color w:val="333333"/>
        </w:rPr>
      </w:pPr>
      <w:r>
        <w:rPr>
          <w:rFonts w:ascii="Arial" w:hAnsi="Arial"/>
          <w:b w:val="1"/>
          <w:color w:val="333333"/>
        </w:rPr>
        <w:t>2011 Census of Population, Households and Dwellings, in the Republic of Serbia</w:t>
      </w:r>
    </w:p>
    <w:p>
      <w:pPr>
        <w:spacing w:lineRule="auto" w:line="235"/>
        <w:jc w:val="center"/>
        <w:rPr>
          <w:rFonts w:ascii="Arial" w:hAnsi="Arial"/>
          <w:b w:val="0"/>
          <w:color w:val="333333"/>
          <w:sz w:val="24"/>
        </w:rPr>
      </w:pPr>
      <w:r>
        <w:rPr>
          <w:rFonts w:ascii="Arial" w:hAnsi="Arial"/>
          <w:b w:val="1"/>
          <w:color w:val="333333"/>
          <w:sz w:val="24"/>
        </w:rPr>
        <w:t xml:space="preserve">Book </w:t>
      </w:r>
      <w:r>
        <w:rPr>
          <w:rFonts w:ascii="Arial" w:hAnsi="Arial"/>
          <w:b w:val="1"/>
          <w:color w:val="333333"/>
          <w:sz w:val="24"/>
        </w:rPr>
        <w:t>3</w:t>
      </w:r>
      <w:r>
        <w:rPr>
          <w:rFonts w:ascii="Arial" w:hAnsi="Arial"/>
          <w:b w:val="1"/>
          <w:color w:val="333333"/>
          <w:sz w:val="24"/>
        </w:rPr>
        <w:t>:</w:t>
      </w:r>
      <w:r>
        <w:rPr>
          <w:rFonts w:ascii="Arial" w:hAnsi="Arial"/>
          <w:b w:val="1"/>
          <w:color w:val="333333"/>
          <w:sz w:val="24"/>
        </w:rPr>
        <w:t xml:space="preserve"> Educational Attainment, Literacy and Computer Literacy</w:t>
      </w:r>
    </w:p>
    <w:p>
      <w:pPr>
        <w:spacing w:lineRule="auto" w:line="240" w:before="120" w:after="0"/>
        <w:ind w:firstLine="397"/>
        <w:jc w:val="both"/>
        <w:rPr>
          <w:rFonts w:ascii="Arial" w:hAnsi="Arial"/>
          <w:color w:val="333333"/>
          <w:sz w:val="18"/>
        </w:rPr>
      </w:pPr>
      <w:r>
        <w:rPr>
          <w:rFonts w:ascii="Arial" w:hAnsi="Arial"/>
          <w:color w:val="333333"/>
          <w:sz w:val="18"/>
        </w:rPr>
        <w:t>In the book “Educational Attainment, Literacy and Computer Literacy”, the Statistical Office of the Republic of Serbia publishes the final results of the 2011 Census of Population, Households and Dwellings</w:t>
      </w:r>
      <w:r>
        <w:rPr>
          <w:rFonts w:ascii="Arial" w:hAnsi="Arial"/>
          <w:color w:val="333333"/>
          <w:sz w:val="18"/>
          <w:vertAlign w:val="superscript"/>
        </w:rPr>
        <w:t>1</w:t>
      </w:r>
      <w:r>
        <w:rPr>
          <w:rFonts w:ascii="Arial" w:hAnsi="Arial"/>
          <w:color w:val="333333"/>
          <w:sz w:val="18"/>
        </w:rPr>
        <w:t xml:space="preserve"> on the population of the Republic of Serbia according to educational attainment, literacy and computer literacy.</w:t>
      </w:r>
    </w:p>
    <w:p>
      <w:pPr>
        <w:spacing w:lineRule="auto" w:line="240" w:before="120" w:after="0"/>
        <w:ind w:firstLine="397"/>
        <w:jc w:val="both"/>
        <w:rPr>
          <w:rFonts w:ascii="Arial" w:hAnsi="Arial"/>
          <w:color w:val="333333"/>
          <w:sz w:val="18"/>
        </w:rPr>
      </w:pPr>
      <w:r>
        <w:rPr>
          <w:rFonts w:ascii="Arial" w:hAnsi="Arial"/>
          <w:color w:val="333333"/>
          <w:sz w:val="18"/>
        </w:rPr>
        <w:t xml:space="preserve">2011 Census was carried out in the period from 1 to 15 October 2011 in line with the Law on the Census of Population, Households and Dwellings („Official Journal of the RS“, number 104/09 and 24/11). The Census was financially supported by the European Union which participated with 60% in the total costs. </w:t>
      </w:r>
    </w:p>
    <w:p>
      <w:pPr>
        <w:spacing w:lineRule="auto" w:line="240" w:after="120"/>
        <w:ind w:firstLine="360"/>
        <w:jc w:val="both"/>
        <w:rPr>
          <w:rFonts w:ascii="Arial" w:hAnsi="Arial"/>
          <w:color w:val="333333"/>
          <w:sz w:val="14"/>
        </w:rPr>
      </w:pPr>
    </w:p>
    <w:p>
      <w:pPr>
        <w:spacing w:after="120"/>
        <w:ind w:firstLine="360"/>
        <w:jc w:val="both"/>
        <w:outlineLvl w:val="0"/>
        <w:rPr>
          <w:rFonts w:ascii="Arial" w:hAnsi="Arial"/>
          <w:b w:val="0"/>
          <w:color w:val="333333"/>
          <w:sz w:val="18"/>
        </w:rPr>
      </w:pPr>
      <w:r>
        <w:rPr>
          <w:rFonts w:ascii="Arial" w:hAnsi="Arial"/>
          <w:b w:val="1"/>
          <w:color w:val="333333"/>
          <w:sz w:val="18"/>
        </w:rPr>
        <w:t>Educational attainment</w:t>
      </w:r>
    </w:p>
    <w:p>
      <w:pPr>
        <w:spacing w:lineRule="auto" w:line="240" w:before="120" w:after="0"/>
        <w:ind w:firstLine="397"/>
        <w:jc w:val="both"/>
        <w:rPr>
          <w:rFonts w:ascii="Arial" w:hAnsi="Arial"/>
          <w:b w:val="0"/>
          <w:color w:val="333333"/>
          <w:sz w:val="18"/>
        </w:rPr>
      </w:pPr>
      <w:r>
        <w:rPr>
          <w:rFonts w:ascii="Arial" w:hAnsi="Arial"/>
          <w:color w:val="333333"/>
          <w:sz w:val="18"/>
        </w:rPr>
        <w:t>Educational attainment (the highest school completed) is defined as the school that a person has completed gaining the highest level of education. In 2011 Census, the question about educational attainment refered only to education attained in the offical educational system so that education received in the scope of non-standardized programmes (various types of courses) was not considered as an appropriate answer.</w:t>
      </w:r>
    </w:p>
    <w:p>
      <w:pPr>
        <w:spacing w:lineRule="auto" w:line="240" w:before="120" w:after="0"/>
        <w:ind w:firstLine="397"/>
        <w:jc w:val="both"/>
        <w:rPr>
          <w:rFonts w:ascii="Arial" w:hAnsi="Arial"/>
          <w:color w:val="333333"/>
          <w:sz w:val="18"/>
        </w:rPr>
      </w:pPr>
      <w:r>
        <w:rPr>
          <w:rFonts w:ascii="Arial" w:hAnsi="Arial"/>
          <w:color w:val="333333"/>
          <w:sz w:val="18"/>
        </w:rPr>
        <w:t xml:space="preserve">In the period between the two censuses (2002-2011) there was a decrease in the total number of persons without educational attainment and persons with lower educational level, i.e. persons with incomplete primary education and primary education in the total population aged 15 and over, while the number of persons with secondary, high and higher education increased. </w:t>
      </w:r>
    </w:p>
    <w:p>
      <w:pPr>
        <w:spacing w:lineRule="auto" w:line="240" w:after="0"/>
        <w:ind w:firstLine="397"/>
        <w:jc w:val="both"/>
        <w:rPr>
          <w:rFonts w:ascii="Arial" w:hAnsi="Arial"/>
          <w:color w:val="333333"/>
          <w:sz w:val="18"/>
        </w:rPr>
      </w:pPr>
    </w:p>
    <w:p>
      <w:pPr>
        <w:spacing w:lineRule="auto" w:line="235" w:before="60" w:after="0"/>
        <w:ind w:firstLine="397"/>
        <w:jc w:val="center"/>
        <w:outlineLvl w:val="0"/>
        <w:rPr>
          <w:rFonts w:ascii="Arial" w:hAnsi="Arial"/>
          <w:color w:val="333333"/>
          <w:sz w:val="18"/>
        </w:rPr>
      </w:pPr>
      <w:r>
        <w:rPr>
          <w:rFonts w:ascii="Arial" w:hAnsi="Arial"/>
          <w:b w:val="1"/>
          <w:color w:val="333333"/>
          <w:sz w:val="18"/>
        </w:rPr>
        <w:t xml:space="preserve">Population aged 15 and over by educational attainment, by </w:t>
      </w:r>
      <w:r>
        <w:rPr>
          <w:rFonts w:ascii="Arial" w:hAnsi="Arial"/>
          <w:b w:val="1"/>
          <w:color w:val="333333"/>
          <w:sz w:val="18"/>
        </w:rPr>
        <w:t xml:space="preserve">censuses </w:t>
      </w:r>
      <w:r>
        <w:rPr>
          <w:rFonts w:ascii="Arial" w:hAnsi="Arial"/>
          <w:b w:val="1"/>
          <w:color w:val="333333"/>
          <w:sz w:val="18"/>
        </w:rPr>
        <w:t xml:space="preserve">2002 and 2011 </w:t>
      </w:r>
      <w:r>
        <w:rPr>
          <w:rFonts w:ascii="Arial" w:hAnsi="Arial"/>
          <w:b w:val="1"/>
          <w:color w:val="333333"/>
          <w:sz w:val="18"/>
        </w:rPr>
        <w:t xml:space="preserve"> </w:t>
      </w:r>
    </w:p>
    <w:tbl>
      <w:tblPr>
        <w:tblStyle w:val="T2"/>
        <w:tblW w:w="0" w:type="auto"/>
        <w:jc w:val="center"/>
        <w:tblLayout w:type="autofit"/>
        <w:tblCellMar>
          <w:left w:w="28" w:type="dxa"/>
          <w:right w:w="28" w:type="dxa"/>
        </w:tblCellMar>
      </w:tblPr>
      <w:tblGrid/>
      <w:tr>
        <w:trPr>
          <w:wAfter w:w="0" w:type="dxa"/>
        </w:trPr>
        <w:tc>
          <w:tcPr>
            <w:tcW w:w="2776" w:type="dxa"/>
            <w:vMerge w:val="restart"/>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240" w:after="0"/>
              <w:jc w:val="center"/>
              <w:rPr>
                <w:rFonts w:ascii="Arial" w:hAnsi="Arial"/>
                <w:color w:val="333333"/>
                <w:sz w:val="17"/>
              </w:rPr>
            </w:pPr>
          </w:p>
        </w:tc>
        <w:tc>
          <w:tcPr>
            <w:tcW w:w="2546"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0" w:before="60" w:after="60"/>
              <w:jc w:val="center"/>
              <w:rPr>
                <w:rFonts w:ascii="Arial" w:hAnsi="Arial"/>
                <w:color w:val="333333"/>
                <w:sz w:val="17"/>
              </w:rPr>
            </w:pPr>
            <w:r>
              <w:rPr>
                <w:rFonts w:ascii="Arial" w:hAnsi="Arial"/>
                <w:color w:val="333333"/>
                <w:sz w:val="17"/>
              </w:rPr>
              <w:t>2002 Census</w:t>
            </w:r>
          </w:p>
        </w:tc>
        <w:tc>
          <w:tcPr>
            <w:tcW w:w="2648"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0" w:before="60" w:after="60"/>
              <w:jc w:val="center"/>
              <w:rPr>
                <w:rFonts w:ascii="Arial" w:hAnsi="Arial"/>
                <w:color w:val="333333"/>
                <w:sz w:val="17"/>
              </w:rPr>
            </w:pPr>
            <w:r>
              <w:rPr>
                <w:rFonts w:ascii="Arial" w:hAnsi="Arial"/>
                <w:color w:val="333333"/>
                <w:sz w:val="17"/>
              </w:rPr>
              <w:t>2011 Census</w:t>
            </w:r>
          </w:p>
        </w:tc>
      </w:tr>
      <w:tr>
        <w:trPr>
          <w:wAfter w:w="0" w:type="dxa"/>
          <w:trHeight w:hRule="atLeast" w:val="284"/>
        </w:trPr>
        <w:tc>
          <w:tcPr>
            <w:tcW w:w="2776" w:type="dxa"/>
            <w:vMerge w:val="continue"/>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lineRule="auto" w:line="240" w:after="0"/>
              <w:jc w:val="center"/>
              <w:rPr>
                <w:rFonts w:ascii="Arial" w:hAnsi="Arial"/>
                <w:color w:val="333333"/>
                <w:sz w:val="17"/>
              </w:rPr>
            </w:pPr>
          </w:p>
        </w:tc>
        <w:tc>
          <w:tcPr>
            <w:tcW w:w="133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Arial" w:hAnsi="Arial"/>
                <w:color w:val="333333"/>
                <w:sz w:val="17"/>
              </w:rPr>
            </w:pPr>
            <w:r>
              <w:rPr>
                <w:rFonts w:ascii="Arial" w:hAnsi="Arial"/>
                <w:color w:val="333333"/>
                <w:sz w:val="17"/>
              </w:rPr>
              <w:t>Total</w:t>
            </w:r>
          </w:p>
        </w:tc>
        <w:tc>
          <w:tcPr>
            <w:tcW w:w="120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Arial" w:hAnsi="Arial"/>
                <w:color w:val="333333"/>
                <w:sz w:val="17"/>
              </w:rPr>
            </w:pPr>
            <w:r>
              <w:rPr>
                <w:rFonts w:ascii="Arial" w:hAnsi="Arial"/>
                <w:color w:val="333333"/>
                <w:sz w:val="17"/>
              </w:rPr>
              <w:t>%</w:t>
            </w:r>
          </w:p>
        </w:tc>
        <w:tc>
          <w:tcPr>
            <w:tcW w:w="138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Arial" w:hAnsi="Arial"/>
                <w:color w:val="333333"/>
                <w:sz w:val="17"/>
              </w:rPr>
            </w:pPr>
            <w:r>
              <w:rPr>
                <w:rFonts w:ascii="Arial" w:hAnsi="Arial"/>
                <w:color w:val="333333"/>
                <w:sz w:val="17"/>
              </w:rPr>
              <w:t>Total</w:t>
            </w:r>
          </w:p>
        </w:tc>
        <w:tc>
          <w:tcPr>
            <w:tcW w:w="126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Arial" w:hAnsi="Arial"/>
                <w:color w:val="333333"/>
                <w:sz w:val="17"/>
              </w:rPr>
            </w:pPr>
            <w:r>
              <w:rPr>
                <w:rFonts w:ascii="Arial" w:hAnsi="Arial"/>
                <w:color w:val="333333"/>
                <w:sz w:val="17"/>
              </w:rPr>
              <w:t>%</w:t>
            </w:r>
          </w:p>
        </w:tc>
      </w:tr>
      <w:tr>
        <w:trPr>
          <w:wAfter w:w="0" w:type="dxa"/>
        </w:trPr>
        <w:tc>
          <w:tcPr>
            <w:tcW w:w="2776" w:type="dxa"/>
            <w:tcBorders>
              <w:top w:val="single" w:sz="4" w:space="0" w:shadow="0" w:frame="0"/>
              <w:left w:val="single" w:sz="4" w:space="0" w:shadow="0" w:frame="0"/>
              <w:bottom w:val="single" w:sz="4" w:space="0" w:shadow="0" w:frame="0"/>
              <w:right w:val="single" w:sz="4" w:space="0" w:shadow="0" w:frame="0"/>
            </w:tcBorders>
            <w:shd w:val="nil" w:color="auto" w:fill="auto"/>
            <w:vAlign w:val="bottom"/>
          </w:tcPr>
          <w:p>
            <w:pPr>
              <w:spacing w:lineRule="auto" w:line="240" w:after="0"/>
              <w:rPr>
                <w:rFonts w:ascii="Arial" w:hAnsi="Arial"/>
                <w:b w:val="0"/>
                <w:color w:val="333333"/>
                <w:sz w:val="17"/>
              </w:rPr>
            </w:pPr>
            <w:r>
              <w:rPr>
                <w:rFonts w:ascii="Arial" w:hAnsi="Arial"/>
                <w:b w:val="1"/>
                <w:color w:val="333333"/>
                <w:sz w:val="17"/>
              </w:rPr>
              <w:t>REPUBLIC OF SERBIA</w:t>
            </w:r>
          </w:p>
        </w:tc>
        <w:tc>
          <w:tcPr>
            <w:tcW w:w="1339"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b w:val="0"/>
                <w:color w:val="333333"/>
                <w:sz w:val="17"/>
              </w:rPr>
            </w:pPr>
            <w:r>
              <w:rPr>
                <w:rFonts w:ascii="Arial" w:hAnsi="Arial"/>
                <w:b w:val="1"/>
                <w:color w:val="333333"/>
                <w:sz w:val="17"/>
              </w:rPr>
              <w:t>6321231</w:t>
            </w:r>
          </w:p>
        </w:tc>
        <w:tc>
          <w:tcPr>
            <w:tcW w:w="120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b w:val="0"/>
                <w:color w:val="333333"/>
                <w:sz w:val="17"/>
              </w:rPr>
            </w:pPr>
            <w:r>
              <w:rPr>
                <w:rFonts w:ascii="Arial" w:hAnsi="Arial"/>
                <w:b w:val="1"/>
                <w:color w:val="333333"/>
                <w:sz w:val="17"/>
              </w:rPr>
              <w:t>100</w:t>
            </w:r>
          </w:p>
        </w:tc>
        <w:tc>
          <w:tcPr>
            <w:tcW w:w="1388"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b w:val="0"/>
                <w:color w:val="333333"/>
                <w:sz w:val="17"/>
              </w:rPr>
            </w:pPr>
            <w:r>
              <w:rPr>
                <w:rFonts w:ascii="Arial" w:hAnsi="Arial"/>
                <w:b w:val="1"/>
                <w:color w:val="333333"/>
                <w:sz w:val="17"/>
              </w:rPr>
              <w:t>6161584</w:t>
            </w:r>
          </w:p>
        </w:tc>
        <w:tc>
          <w:tcPr>
            <w:tcW w:w="1260"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b w:val="0"/>
                <w:color w:val="333333"/>
                <w:sz w:val="17"/>
              </w:rPr>
            </w:pPr>
            <w:r>
              <w:rPr>
                <w:rFonts w:ascii="Arial" w:hAnsi="Arial"/>
                <w:b w:val="1"/>
                <w:color w:val="333333"/>
                <w:sz w:val="17"/>
              </w:rPr>
              <w:t>100</w:t>
            </w:r>
          </w:p>
        </w:tc>
      </w:tr>
      <w:tr>
        <w:trPr>
          <w:wAfter w:w="0" w:type="dxa"/>
        </w:trPr>
        <w:tc>
          <w:tcPr>
            <w:tcW w:w="2776" w:type="dxa"/>
            <w:tcBorders>
              <w:top w:val="single" w:sz="4" w:space="0" w:shadow="0" w:frame="0"/>
              <w:left w:val="single" w:sz="4" w:space="0" w:shadow="0" w:frame="0"/>
              <w:bottom w:val="single" w:sz="4" w:space="0" w:shadow="0" w:frame="0"/>
              <w:right w:val="single" w:sz="4" w:space="0" w:shadow="0" w:frame="0"/>
            </w:tcBorders>
            <w:shd w:val="nil" w:color="auto" w:fill="auto"/>
            <w:vAlign w:val="bottom"/>
          </w:tcPr>
          <w:p>
            <w:pPr>
              <w:spacing w:lineRule="auto" w:line="240" w:after="0"/>
              <w:rPr>
                <w:rFonts w:ascii="Arial" w:hAnsi="Arial"/>
                <w:color w:val="333333"/>
                <w:sz w:val="17"/>
              </w:rPr>
            </w:pPr>
            <w:r>
              <w:rPr>
                <w:rFonts w:ascii="Arial" w:hAnsi="Arial"/>
                <w:color w:val="333333"/>
                <w:sz w:val="17"/>
              </w:rPr>
              <w:t>Without educational attainment</w:t>
            </w:r>
          </w:p>
        </w:tc>
        <w:tc>
          <w:tcPr>
            <w:tcW w:w="1339"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357552</w:t>
            </w:r>
          </w:p>
        </w:tc>
        <w:tc>
          <w:tcPr>
            <w:tcW w:w="120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5.66</w:t>
            </w:r>
          </w:p>
        </w:tc>
        <w:tc>
          <w:tcPr>
            <w:tcW w:w="1388"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164884</w:t>
            </w:r>
          </w:p>
        </w:tc>
        <w:tc>
          <w:tcPr>
            <w:tcW w:w="1260"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2.68</w:t>
            </w:r>
          </w:p>
        </w:tc>
      </w:tr>
      <w:tr>
        <w:trPr>
          <w:wAfter w:w="0" w:type="dxa"/>
        </w:trPr>
        <w:tc>
          <w:tcPr>
            <w:tcW w:w="2776" w:type="dxa"/>
            <w:tcBorders>
              <w:top w:val="single" w:sz="4" w:space="0" w:shadow="0" w:frame="0"/>
              <w:left w:val="single" w:sz="4" w:space="0" w:shadow="0" w:frame="0"/>
              <w:bottom w:val="single" w:sz="4" w:space="0" w:shadow="0" w:frame="0"/>
              <w:right w:val="single" w:sz="4" w:space="0" w:shadow="0" w:frame="0"/>
            </w:tcBorders>
            <w:shd w:val="nil" w:color="auto" w:fill="auto"/>
            <w:vAlign w:val="bottom"/>
          </w:tcPr>
          <w:p>
            <w:pPr>
              <w:spacing w:lineRule="auto" w:line="240" w:after="0"/>
              <w:rPr>
                <w:rFonts w:ascii="Arial" w:hAnsi="Arial"/>
                <w:color w:val="333333"/>
                <w:sz w:val="17"/>
              </w:rPr>
            </w:pPr>
            <w:r>
              <w:rPr>
                <w:rFonts w:ascii="Arial" w:hAnsi="Arial"/>
                <w:color w:val="333333"/>
                <w:sz w:val="17"/>
              </w:rPr>
              <w:t>Incomplete primary education</w:t>
            </w:r>
          </w:p>
        </w:tc>
        <w:tc>
          <w:tcPr>
            <w:tcW w:w="1339"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1022974</w:t>
            </w:r>
          </w:p>
        </w:tc>
        <w:tc>
          <w:tcPr>
            <w:tcW w:w="120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16.18</w:t>
            </w:r>
          </w:p>
        </w:tc>
        <w:tc>
          <w:tcPr>
            <w:tcW w:w="1388"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677499</w:t>
            </w:r>
          </w:p>
        </w:tc>
        <w:tc>
          <w:tcPr>
            <w:tcW w:w="1260"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11.00</w:t>
            </w:r>
          </w:p>
        </w:tc>
      </w:tr>
      <w:tr>
        <w:trPr>
          <w:wAfter w:w="0" w:type="dxa"/>
        </w:trPr>
        <w:tc>
          <w:tcPr>
            <w:tcW w:w="2776" w:type="dxa"/>
            <w:tcBorders>
              <w:top w:val="single" w:sz="4" w:space="0" w:shadow="0" w:frame="0"/>
              <w:left w:val="single" w:sz="4" w:space="0" w:shadow="0" w:frame="0"/>
              <w:bottom w:val="single" w:sz="4" w:space="0" w:shadow="0" w:frame="0"/>
              <w:right w:val="single" w:sz="4" w:space="0" w:shadow="0" w:frame="0"/>
            </w:tcBorders>
            <w:shd w:val="nil" w:color="auto" w:fill="auto"/>
            <w:vAlign w:val="bottom"/>
          </w:tcPr>
          <w:p>
            <w:pPr>
              <w:spacing w:lineRule="auto" w:line="240" w:after="0"/>
              <w:rPr>
                <w:rFonts w:ascii="Arial" w:hAnsi="Arial"/>
                <w:color w:val="333333"/>
                <w:sz w:val="17"/>
              </w:rPr>
            </w:pPr>
            <w:r>
              <w:rPr>
                <w:rFonts w:ascii="Arial" w:hAnsi="Arial"/>
                <w:color w:val="333333"/>
                <w:sz w:val="17"/>
              </w:rPr>
              <w:t>Primary education</w:t>
            </w:r>
          </w:p>
        </w:tc>
        <w:tc>
          <w:tcPr>
            <w:tcW w:w="1339"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1509462</w:t>
            </w:r>
          </w:p>
        </w:tc>
        <w:tc>
          <w:tcPr>
            <w:tcW w:w="120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23.88</w:t>
            </w:r>
          </w:p>
        </w:tc>
        <w:tc>
          <w:tcPr>
            <w:tcW w:w="1388"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1279116</w:t>
            </w:r>
          </w:p>
        </w:tc>
        <w:tc>
          <w:tcPr>
            <w:tcW w:w="1260"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20.76</w:t>
            </w:r>
          </w:p>
        </w:tc>
      </w:tr>
      <w:tr>
        <w:trPr>
          <w:wAfter w:w="0" w:type="dxa"/>
        </w:trPr>
        <w:tc>
          <w:tcPr>
            <w:tcW w:w="2776" w:type="dxa"/>
            <w:tcBorders>
              <w:top w:val="single" w:sz="4" w:space="0" w:shadow="0" w:frame="0"/>
              <w:left w:val="single" w:sz="4" w:space="0" w:shadow="0" w:frame="0"/>
              <w:bottom w:val="single" w:sz="4" w:space="0" w:shadow="0" w:frame="0"/>
              <w:right w:val="single" w:sz="4" w:space="0" w:shadow="0" w:frame="0"/>
            </w:tcBorders>
            <w:shd w:val="nil" w:color="auto" w:fill="auto"/>
            <w:vAlign w:val="bottom"/>
          </w:tcPr>
          <w:p>
            <w:pPr>
              <w:spacing w:lineRule="auto" w:line="240" w:after="0"/>
              <w:rPr>
                <w:rFonts w:ascii="Arial" w:hAnsi="Arial"/>
                <w:color w:val="333333"/>
                <w:sz w:val="17"/>
              </w:rPr>
            </w:pPr>
            <w:r>
              <w:rPr>
                <w:rFonts w:ascii="Arial" w:hAnsi="Arial"/>
                <w:color w:val="333333"/>
                <w:sz w:val="17"/>
              </w:rPr>
              <w:t>Secondary education</w:t>
            </w:r>
          </w:p>
        </w:tc>
        <w:tc>
          <w:tcPr>
            <w:tcW w:w="1339"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2596348</w:t>
            </w:r>
          </w:p>
        </w:tc>
        <w:tc>
          <w:tcPr>
            <w:tcW w:w="120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41.07</w:t>
            </w:r>
          </w:p>
        </w:tc>
        <w:tc>
          <w:tcPr>
            <w:tcW w:w="1388"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3015092</w:t>
            </w:r>
          </w:p>
        </w:tc>
        <w:tc>
          <w:tcPr>
            <w:tcW w:w="1260"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48.93</w:t>
            </w:r>
          </w:p>
        </w:tc>
      </w:tr>
      <w:tr>
        <w:trPr>
          <w:wAfter w:w="0" w:type="dxa"/>
        </w:trPr>
        <w:tc>
          <w:tcPr>
            <w:tcW w:w="2776" w:type="dxa"/>
            <w:tcBorders>
              <w:top w:val="single" w:sz="4" w:space="0" w:shadow="0" w:frame="0"/>
              <w:left w:val="single" w:sz="4" w:space="0" w:shadow="0" w:frame="0"/>
              <w:bottom w:val="single" w:sz="4" w:space="0" w:shadow="0" w:frame="0"/>
              <w:right w:val="single" w:sz="4" w:space="0" w:shadow="0" w:frame="0"/>
            </w:tcBorders>
            <w:shd w:val="nil" w:color="auto" w:fill="auto"/>
            <w:vAlign w:val="bottom"/>
          </w:tcPr>
          <w:p>
            <w:pPr>
              <w:spacing w:lineRule="auto" w:line="240" w:after="0"/>
              <w:rPr>
                <w:rFonts w:ascii="Arial" w:hAnsi="Arial"/>
                <w:color w:val="333333"/>
                <w:sz w:val="17"/>
              </w:rPr>
            </w:pPr>
            <w:r>
              <w:rPr>
                <w:rFonts w:ascii="Arial" w:hAnsi="Arial"/>
                <w:color w:val="333333"/>
                <w:sz w:val="17"/>
              </w:rPr>
              <w:t>High education</w:t>
            </w:r>
          </w:p>
        </w:tc>
        <w:tc>
          <w:tcPr>
            <w:tcW w:w="1339"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285056</w:t>
            </w:r>
          </w:p>
        </w:tc>
        <w:tc>
          <w:tcPr>
            <w:tcW w:w="120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4.51</w:t>
            </w:r>
          </w:p>
        </w:tc>
        <w:tc>
          <w:tcPr>
            <w:tcW w:w="1388"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348335</w:t>
            </w:r>
          </w:p>
        </w:tc>
        <w:tc>
          <w:tcPr>
            <w:tcW w:w="1260"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5.65</w:t>
            </w:r>
          </w:p>
        </w:tc>
      </w:tr>
      <w:tr>
        <w:trPr>
          <w:wAfter w:w="0" w:type="dxa"/>
        </w:trPr>
        <w:tc>
          <w:tcPr>
            <w:tcW w:w="2776" w:type="dxa"/>
            <w:tcBorders>
              <w:top w:val="single" w:sz="4" w:space="0" w:shadow="0" w:frame="0"/>
              <w:left w:val="single" w:sz="4" w:space="0" w:shadow="0" w:frame="0"/>
              <w:bottom w:val="single" w:sz="4" w:space="0" w:shadow="0" w:frame="0"/>
              <w:right w:val="single" w:sz="4" w:space="0" w:shadow="0" w:frame="0"/>
            </w:tcBorders>
            <w:shd w:val="nil" w:color="auto" w:fill="auto"/>
            <w:vAlign w:val="bottom"/>
          </w:tcPr>
          <w:p>
            <w:pPr>
              <w:spacing w:lineRule="auto" w:line="240" w:after="0"/>
              <w:rPr>
                <w:rFonts w:ascii="Arial" w:hAnsi="Arial"/>
                <w:color w:val="333333"/>
                <w:sz w:val="17"/>
              </w:rPr>
            </w:pPr>
            <w:r>
              <w:rPr>
                <w:rFonts w:ascii="Arial" w:hAnsi="Arial"/>
                <w:color w:val="333333"/>
                <w:sz w:val="17"/>
              </w:rPr>
              <w:t>Higher education</w:t>
            </w:r>
          </w:p>
        </w:tc>
        <w:tc>
          <w:tcPr>
            <w:tcW w:w="1339"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411944</w:t>
            </w:r>
          </w:p>
        </w:tc>
        <w:tc>
          <w:tcPr>
            <w:tcW w:w="120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6.52</w:t>
            </w:r>
          </w:p>
        </w:tc>
        <w:tc>
          <w:tcPr>
            <w:tcW w:w="1388"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652234</w:t>
            </w:r>
          </w:p>
        </w:tc>
        <w:tc>
          <w:tcPr>
            <w:tcW w:w="1260"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10.59</w:t>
            </w:r>
          </w:p>
        </w:tc>
      </w:tr>
      <w:tr>
        <w:trPr>
          <w:wAfter w:w="0" w:type="dxa"/>
        </w:trPr>
        <w:tc>
          <w:tcPr>
            <w:tcW w:w="2776" w:type="dxa"/>
            <w:tcBorders>
              <w:top w:val="single" w:sz="4" w:space="0" w:shadow="0" w:frame="0"/>
              <w:left w:val="single" w:sz="4" w:space="0" w:shadow="0" w:frame="0"/>
              <w:bottom w:val="single" w:sz="4" w:space="0" w:shadow="0" w:frame="0"/>
              <w:right w:val="single" w:sz="4" w:space="0" w:shadow="0" w:frame="0"/>
            </w:tcBorders>
            <w:shd w:val="nil" w:color="auto" w:fill="auto"/>
            <w:vAlign w:val="bottom"/>
          </w:tcPr>
          <w:p>
            <w:pPr>
              <w:spacing w:lineRule="auto" w:line="240" w:after="0"/>
              <w:rPr>
                <w:rFonts w:ascii="Arial" w:hAnsi="Arial"/>
                <w:color w:val="333333"/>
                <w:sz w:val="17"/>
              </w:rPr>
            </w:pPr>
            <w:r>
              <w:rPr>
                <w:rFonts w:ascii="Arial" w:hAnsi="Arial"/>
                <w:color w:val="333333"/>
                <w:sz w:val="17"/>
              </w:rPr>
              <w:t>Unknown</w:t>
            </w:r>
          </w:p>
        </w:tc>
        <w:tc>
          <w:tcPr>
            <w:tcW w:w="1339"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137895</w:t>
            </w:r>
          </w:p>
        </w:tc>
        <w:tc>
          <w:tcPr>
            <w:tcW w:w="120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2.18</w:t>
            </w:r>
          </w:p>
        </w:tc>
        <w:tc>
          <w:tcPr>
            <w:tcW w:w="1388"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24424</w:t>
            </w:r>
          </w:p>
        </w:tc>
        <w:tc>
          <w:tcPr>
            <w:tcW w:w="1260"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40" w:after="0"/>
              <w:ind w:right="113"/>
              <w:jc w:val="right"/>
              <w:rPr>
                <w:rFonts w:ascii="Arial" w:hAnsi="Arial"/>
                <w:color w:val="333333"/>
                <w:sz w:val="17"/>
              </w:rPr>
            </w:pPr>
            <w:r>
              <w:rPr>
                <w:rFonts w:ascii="Arial" w:hAnsi="Arial"/>
                <w:color w:val="333333"/>
                <w:sz w:val="17"/>
              </w:rPr>
              <w:t>0.40</w:t>
            </w:r>
          </w:p>
        </w:tc>
      </w:tr>
    </w:tbl>
    <w:p>
      <w:pPr>
        <w:spacing w:lineRule="auto" w:line="216" w:before="240" w:after="60"/>
        <w:jc w:val="both"/>
        <w:rPr>
          <w:rFonts w:ascii="Arial" w:hAnsi="Arial"/>
          <w:color w:val="333333"/>
          <w:sz w:val="18"/>
        </w:rPr>
      </w:pPr>
      <w:r>
        <w:rPr>
          <w:rFonts w:ascii="Arial" w:hAnsi="Arial"/>
          <w:color w:val="333333"/>
          <w:sz w:val="18"/>
        </w:rPr>
        <w:t xml:space="preserve">       Five municipalities with the highest share of persons without educational attainment and persons with incomplete primary education are: Ražanj (37.92%), Оsečina (36.98%), Gadžin Han (35.85%), Rekovac (35.14%) and Crna Trava (34.84%), while the share of persons with high and higher education is the highest in the municipalities of Vračar (52.34%), Stari grad (50.20%), Savski venac (46.62%), Novi Beograd (40.61%) and Medijana - Niš (34.73%).</w:t>
      </w:r>
    </w:p>
    <w:p>
      <w:pPr>
        <w:spacing w:lineRule="auto" w:line="216" w:before="240" w:after="60"/>
        <w:jc w:val="both"/>
        <w:outlineLvl w:val="0"/>
        <w:rPr>
          <w:rFonts w:ascii="Arial" w:hAnsi="Arial"/>
          <w:b w:val="0"/>
          <w:color w:val="333333"/>
          <w:sz w:val="18"/>
        </w:rPr>
      </w:pPr>
      <w:r>
        <w:rPr>
          <w:rFonts w:ascii="Arial" w:hAnsi="Arial"/>
          <w:b w:val="1"/>
          <w:color w:val="333333"/>
          <w:sz w:val="18"/>
        </w:rPr>
        <w:t>Literacy</w:t>
      </w:r>
    </w:p>
    <w:p>
      <w:pPr>
        <w:spacing w:lineRule="auto" w:line="216" w:after="0"/>
        <w:ind w:firstLine="397"/>
        <w:jc w:val="both"/>
        <w:rPr>
          <w:rFonts w:ascii="Arial" w:hAnsi="Arial"/>
          <w:color w:val="333333"/>
          <w:sz w:val="18"/>
        </w:rPr>
      </w:pPr>
      <w:r>
        <w:rPr>
          <w:rFonts w:ascii="Arial" w:hAnsi="Arial"/>
          <w:color w:val="333333"/>
          <w:sz w:val="18"/>
        </w:rPr>
        <w:t>According to international recommendations</w:t>
      </w:r>
      <w:r>
        <w:rPr>
          <w:rFonts w:ascii="Arial" w:hAnsi="Arial"/>
          <w:color w:val="333333"/>
          <w:sz w:val="18"/>
          <w:vertAlign w:val="superscript"/>
        </w:rPr>
        <w:t>2</w:t>
      </w:r>
      <w:r>
        <w:rPr>
          <w:rFonts w:ascii="Arial" w:hAnsi="Arial"/>
          <w:color w:val="333333"/>
          <w:sz w:val="18"/>
        </w:rPr>
        <w:t xml:space="preserve"> literate are taken to be pupils of primary schools, pupils of schools that are ranked higher than primary school, as well as persons who, at the moment of the census, are not attending school but completed more than three grades of primary school. Literate are also persons without school and persons who completed 1-3 grades of primary school and who said being capable of reading and writing a text about every day life, regardless of the language and alphabet used.   </w:t>
      </w:r>
    </w:p>
    <w:p>
      <w:pPr>
        <w:spacing w:lineRule="auto" w:line="216" w:before="120" w:after="0"/>
        <w:ind w:firstLine="397" w:left="85"/>
        <w:jc w:val="both"/>
        <w:rPr>
          <w:rFonts w:ascii="Arial" w:hAnsi="Arial"/>
          <w:color w:val="333333"/>
          <w:sz w:val="18"/>
        </w:rPr>
      </w:pPr>
      <w:r>
        <w:rPr>
          <w:rFonts w:ascii="Arial" w:hAnsi="Arial"/>
          <w:color w:val="333333"/>
          <w:sz w:val="18"/>
        </w:rPr>
        <w:t>In the period between the two last censuses the total number of illiterate persons decreased by 45.28%. When observed by sex, 82.1% of illiterates are women.</w:t>
      </w:r>
    </w:p>
    <w:p>
      <w:pPr>
        <w:spacing w:lineRule="auto" w:line="240" w:after="0"/>
        <w:ind w:hanging="85" w:left="85"/>
        <w:jc w:val="both"/>
        <w:rPr>
          <w:rFonts w:ascii="Arial" w:hAnsi="Arial"/>
          <w:color w:val="333333"/>
          <w:sz w:val="18"/>
        </w:rPr>
      </w:pPr>
    </w:p>
    <w:p>
      <w:pPr>
        <w:spacing w:lineRule="auto" w:line="240" w:after="0"/>
        <w:ind w:hanging="85" w:left="85"/>
        <w:jc w:val="both"/>
        <w:rPr>
          <w:rFonts w:ascii="Arial" w:hAnsi="Arial"/>
          <w:color w:val="333333"/>
          <w:sz w:val="18"/>
        </w:rPr>
      </w:pPr>
    </w:p>
    <w:p>
      <w:pPr>
        <w:spacing w:lineRule="auto" w:line="240" w:after="0"/>
        <w:ind w:hanging="142" w:left="142"/>
        <w:jc w:val="both"/>
        <w:rPr>
          <w:rFonts w:ascii="Arial" w:hAnsi="Arial"/>
          <w:color w:val="333333"/>
          <w:sz w:val="15"/>
        </w:rPr>
      </w:pPr>
      <w:r>
        <w:rPr>
          <w:rFonts w:ascii="Arial" w:hAnsi="Arial"/>
          <w:color w:val="333333"/>
          <w:sz w:val="15"/>
          <w:vertAlign w:val="superscript"/>
        </w:rPr>
        <w:t>1)</w:t>
      </w:r>
      <w:r>
        <w:rPr>
          <w:rFonts w:ascii="Arial" w:hAnsi="Arial"/>
          <w:color w:val="333333"/>
          <w:sz w:val="15"/>
        </w:rPr>
        <w:t xml:space="preserve"> The 2011 Census was not carried out on the territory of the AP Kosovo and Metohia, while the coverage of the census units in the municipalities of Presevo and Bujanovac and partially in the municipality of Medvedja was decreased owing to the boycott by the majority of the Albanian ethnic community.</w:t>
      </w:r>
    </w:p>
    <w:p>
      <w:pPr>
        <w:pStyle w:val="P4"/>
        <w:ind w:hanging="142" w:left="142"/>
        <w:rPr>
          <w:rFonts w:ascii="Arial" w:hAnsi="Arial"/>
          <w:color w:val="333333"/>
          <w:sz w:val="15"/>
        </w:rPr>
      </w:pPr>
      <w:r>
        <w:rPr>
          <w:rStyle w:val="C6"/>
          <w:rFonts w:ascii="Arial" w:hAnsi="Arial"/>
          <w:color w:val="333333"/>
          <w:sz w:val="15"/>
        </w:rPr>
        <w:t>2</w:t>
      </w:r>
      <w:r>
        <w:rPr>
          <w:rFonts w:ascii="Arial" w:hAnsi="Arial"/>
          <w:color w:val="333333"/>
          <w:sz w:val="15"/>
          <w:vertAlign w:val="superscript"/>
        </w:rPr>
        <w:t>)</w:t>
      </w:r>
      <w:r>
        <w:rPr>
          <w:rFonts w:ascii="Arial" w:hAnsi="Arial"/>
          <w:color w:val="333333"/>
          <w:sz w:val="15"/>
        </w:rPr>
        <w:t xml:space="preserve"> Conference of European Statisticians Recommendations for the 2010 Census of Population and Housing UN, New York and Geneva, 2006</w:t>
      </w:r>
    </w:p>
    <w:p>
      <w:pPr>
        <w:spacing w:lineRule="auto" w:line="240" w:after="60"/>
        <w:jc w:val="center"/>
        <w:outlineLvl w:val="0"/>
        <w:rPr>
          <w:rFonts w:ascii="Arial" w:hAnsi="Arial"/>
          <w:b w:val="0"/>
          <w:color w:val="333333"/>
          <w:sz w:val="18"/>
        </w:rPr>
      </w:pPr>
      <w:r>
        <w:rPr>
          <w:rFonts w:ascii="Arial" w:hAnsi="Arial"/>
          <w:b w:val="1"/>
          <w:color w:val="333333"/>
          <w:sz w:val="18"/>
        </w:rPr>
        <w:t>I</w:t>
      </w:r>
      <w:r>
        <w:rPr>
          <w:rFonts w:ascii="Arial" w:hAnsi="Arial"/>
          <w:b w:val="1"/>
          <w:color w:val="333333"/>
          <w:sz w:val="18"/>
        </w:rPr>
        <w:t xml:space="preserve">lliterate persons </w:t>
      </w:r>
      <w:r>
        <w:rPr>
          <w:rFonts w:ascii="Arial" w:hAnsi="Arial"/>
          <w:b w:val="1"/>
          <w:color w:val="333333"/>
          <w:sz w:val="18"/>
        </w:rPr>
        <w:t>aged 10 and over</w:t>
      </w:r>
      <w:r>
        <w:rPr>
          <w:rFonts w:ascii="Arial" w:hAnsi="Arial"/>
          <w:b w:val="1"/>
          <w:color w:val="333333"/>
          <w:sz w:val="18"/>
        </w:rPr>
        <w:t xml:space="preserve"> </w:t>
      </w:r>
      <w:r>
        <w:rPr>
          <w:rFonts w:ascii="Arial" w:hAnsi="Arial"/>
          <w:b w:val="1"/>
          <w:color w:val="333333"/>
          <w:sz w:val="18"/>
        </w:rPr>
        <w:t xml:space="preserve">by </w:t>
      </w:r>
      <w:r>
        <w:rPr>
          <w:rFonts w:ascii="Arial" w:hAnsi="Arial"/>
          <w:b w:val="1"/>
          <w:color w:val="333333"/>
          <w:sz w:val="18"/>
        </w:rPr>
        <w:t>sex</w:t>
      </w:r>
      <w:r>
        <w:rPr>
          <w:rFonts w:ascii="Arial" w:hAnsi="Arial"/>
          <w:b w:val="1"/>
          <w:color w:val="333333"/>
          <w:sz w:val="18"/>
        </w:rPr>
        <w:t>,</w:t>
      </w:r>
      <w:r>
        <w:rPr>
          <w:rFonts w:ascii="Arial" w:hAnsi="Arial"/>
          <w:b w:val="1"/>
          <w:color w:val="333333"/>
          <w:sz w:val="18"/>
        </w:rPr>
        <w:t xml:space="preserve"> by </w:t>
      </w:r>
      <w:r>
        <w:rPr>
          <w:rFonts w:ascii="Arial" w:hAnsi="Arial"/>
          <w:b w:val="1"/>
          <w:color w:val="333333"/>
          <w:sz w:val="18"/>
        </w:rPr>
        <w:t xml:space="preserve">censuses </w:t>
      </w:r>
      <w:r>
        <w:rPr>
          <w:rFonts w:ascii="Arial" w:hAnsi="Arial"/>
          <w:b w:val="1"/>
          <w:color w:val="333333"/>
          <w:sz w:val="18"/>
        </w:rPr>
        <w:t>2002 and 2011</w:t>
      </w:r>
      <w:r>
        <w:rPr>
          <w:rFonts w:ascii="Arial" w:hAnsi="Arial"/>
          <w:b w:val="1"/>
          <w:color w:val="333333"/>
          <w:sz w:val="18"/>
        </w:rPr>
        <w:t xml:space="preserve"> </w:t>
      </w:r>
    </w:p>
    <w:tbl>
      <w:tblPr>
        <w:tblStyle w:val="T2"/>
        <w:tblW w:w="6943" w:type="dxa"/>
        <w:jc w:val="center"/>
        <w:tblLayout w:type="autofit"/>
      </w:tblPr>
      <w:tblGrid/>
      <w:tr>
        <w:trPr>
          <w:wAfter w:w="0" w:type="dxa"/>
          <w:trHeight w:hRule="atLeast" w:val="284"/>
        </w:trPr>
        <w:tc>
          <w:tcPr>
            <w:tcW w:w="2958" w:type="dxa"/>
            <w:vMerge w:val="restart"/>
            <w:tcBorders>
              <w:top w:val="single" w:sz="4" w:space="0" w:shadow="0" w:frame="0"/>
              <w:left w:val="single" w:sz="4" w:space="0" w:shadow="0" w:frame="0"/>
              <w:right w:val="single" w:sz="4" w:space="0" w:shadow="0" w:frame="0"/>
            </w:tcBorders>
            <w:vAlign w:val="bottom"/>
          </w:tcPr>
          <w:p>
            <w:pPr>
              <w:spacing w:lineRule="auto" w:line="240" w:after="0"/>
              <w:rPr>
                <w:rFonts w:ascii="Arial" w:hAnsi="Arial"/>
                <w:color w:val="333333"/>
                <w:sz w:val="17"/>
              </w:rPr>
            </w:pPr>
            <w:r>
              <w:rPr>
                <w:rFonts w:ascii="Arial" w:hAnsi="Arial"/>
                <w:color w:val="333333"/>
                <w:sz w:val="17"/>
              </w:rPr>
              <w:t> </w:t>
            </w:r>
          </w:p>
        </w:tc>
        <w:tc>
          <w:tcPr>
            <w:tcW w:w="1937" w:type="dxa"/>
            <w:gridSpan w:val="2"/>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Arial" w:hAnsi="Arial"/>
                <w:color w:val="333333"/>
                <w:sz w:val="17"/>
              </w:rPr>
            </w:pPr>
            <w:r>
              <w:rPr>
                <w:rFonts w:ascii="Arial" w:hAnsi="Arial"/>
                <w:color w:val="333333"/>
                <w:sz w:val="17"/>
              </w:rPr>
              <w:t>2002</w:t>
            </w:r>
          </w:p>
        </w:tc>
        <w:tc>
          <w:tcPr>
            <w:tcW w:w="2048" w:type="dxa"/>
            <w:gridSpan w:val="2"/>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Arial" w:hAnsi="Arial"/>
                <w:color w:val="333333"/>
                <w:sz w:val="17"/>
              </w:rPr>
            </w:pPr>
            <w:r>
              <w:rPr>
                <w:rFonts w:ascii="Arial" w:hAnsi="Arial"/>
                <w:color w:val="333333"/>
                <w:sz w:val="17"/>
              </w:rPr>
              <w:t>2011</w:t>
            </w:r>
          </w:p>
        </w:tc>
      </w:tr>
      <w:tr>
        <w:trPr>
          <w:wAfter w:w="0" w:type="dxa"/>
          <w:trHeight w:hRule="atLeast" w:val="255"/>
        </w:trPr>
        <w:tc>
          <w:tcPr>
            <w:tcW w:w="2958" w:type="dxa"/>
            <w:vMerge w:val="continue"/>
            <w:tcBorders>
              <w:left w:val="single" w:sz="4" w:space="0" w:shadow="0" w:frame="0"/>
              <w:bottom w:val="single" w:sz="4" w:space="0" w:shadow="0" w:frame="0"/>
              <w:right w:val="single" w:sz="4" w:space="0" w:shadow="0" w:frame="0"/>
            </w:tcBorders>
            <w:vAlign w:val="center"/>
          </w:tcPr>
          <w:p>
            <w:pPr>
              <w:spacing w:lineRule="auto" w:line="240" w:after="0"/>
              <w:ind w:left="-30"/>
              <w:jc w:val="center"/>
              <w:rPr>
                <w:rFonts w:ascii="Arial" w:hAnsi="Arial"/>
                <w:b w:val="0"/>
                <w:color w:val="333333"/>
                <w:sz w:val="17"/>
              </w:rPr>
            </w:pPr>
          </w:p>
        </w:tc>
        <w:tc>
          <w:tcPr>
            <w:tcW w:w="890"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Arial" w:hAnsi="Arial"/>
                <w:color w:val="333333"/>
                <w:sz w:val="17"/>
              </w:rPr>
            </w:pPr>
            <w:r>
              <w:rPr>
                <w:rFonts w:ascii="Arial" w:hAnsi="Arial"/>
                <w:color w:val="333333"/>
                <w:sz w:val="17"/>
              </w:rPr>
              <w:t>All</w:t>
            </w:r>
          </w:p>
        </w:tc>
        <w:tc>
          <w:tcPr>
            <w:tcW w:w="1047" w:type="dxa"/>
            <w:tcBorders>
              <w:top w:val="single" w:sz="4" w:space="0" w:shadow="0" w:frame="0"/>
              <w:left w:val="single" w:sz="4" w:space="0" w:shadow="0" w:frame="0"/>
              <w:bottom w:val="single" w:sz="4" w:space="0" w:shadow="0" w:frame="0"/>
              <w:right w:val="single" w:sz="4" w:space="0" w:shadow="0" w:frame="0"/>
            </w:tcBorders>
            <w:vAlign w:val="center"/>
          </w:tcPr>
          <w:p>
            <w:pPr>
              <w:spacing w:after="0"/>
              <w:jc w:val="center"/>
              <w:rPr>
                <w:rFonts w:ascii="Arial" w:hAnsi="Arial"/>
                <w:color w:val="333333"/>
                <w:sz w:val="17"/>
              </w:rPr>
            </w:pPr>
            <w:r>
              <w:rPr>
                <w:rFonts w:ascii="Arial" w:hAnsi="Arial"/>
                <w:color w:val="333333"/>
                <w:sz w:val="17"/>
              </w:rPr>
              <w:t>Share in population aged 10 and over</w:t>
            </w:r>
          </w:p>
        </w:tc>
        <w:tc>
          <w:tcPr>
            <w:tcW w:w="1001"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Arial" w:hAnsi="Arial"/>
                <w:color w:val="333333"/>
                <w:sz w:val="17"/>
              </w:rPr>
            </w:pPr>
            <w:r>
              <w:rPr>
                <w:rFonts w:ascii="Arial" w:hAnsi="Arial"/>
                <w:color w:val="333333"/>
                <w:sz w:val="17"/>
              </w:rPr>
              <w:t>All</w:t>
            </w:r>
          </w:p>
        </w:tc>
        <w:tc>
          <w:tcPr>
            <w:tcW w:w="1047" w:type="dxa"/>
            <w:tcBorders>
              <w:top w:val="single" w:sz="4" w:space="0" w:shadow="0" w:frame="0"/>
              <w:left w:val="single" w:sz="4" w:space="0" w:shadow="0" w:frame="0"/>
              <w:bottom w:val="single" w:sz="4" w:space="0" w:shadow="0" w:frame="0"/>
              <w:right w:val="single" w:sz="4" w:space="0" w:shadow="0" w:frame="0"/>
            </w:tcBorders>
            <w:vAlign w:val="center"/>
          </w:tcPr>
          <w:p>
            <w:pPr>
              <w:spacing w:after="0"/>
              <w:jc w:val="center"/>
              <w:rPr>
                <w:rFonts w:ascii="Arial" w:hAnsi="Arial"/>
                <w:color w:val="333333"/>
                <w:sz w:val="17"/>
              </w:rPr>
            </w:pPr>
            <w:r>
              <w:rPr>
                <w:rFonts w:ascii="Arial" w:hAnsi="Arial"/>
                <w:color w:val="333333"/>
                <w:sz w:val="17"/>
              </w:rPr>
              <w:t>Share in population aged 10 and over</w:t>
            </w:r>
          </w:p>
        </w:tc>
      </w:tr>
      <w:tr>
        <w:trPr>
          <w:wAfter w:w="0" w:type="dxa"/>
          <w:trHeight w:hRule="atLeast" w:val="255"/>
        </w:trPr>
        <w:tc>
          <w:tcPr>
            <w:tcW w:w="295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30"/>
              <w:rPr>
                <w:rFonts w:ascii="Arial" w:hAnsi="Arial"/>
                <w:b w:val="0"/>
                <w:color w:val="333333"/>
                <w:sz w:val="17"/>
              </w:rPr>
            </w:pPr>
            <w:r>
              <w:rPr>
                <w:rFonts w:ascii="Arial" w:hAnsi="Arial"/>
                <w:b w:val="1"/>
                <w:color w:val="333333"/>
                <w:sz w:val="17"/>
              </w:rPr>
              <w:t>Republic of Serbia</w:t>
            </w:r>
          </w:p>
        </w:tc>
        <w:tc>
          <w:tcPr>
            <w:tcW w:w="89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after="0"/>
              <w:ind w:right="57"/>
              <w:jc w:val="right"/>
              <w:rPr>
                <w:rFonts w:ascii="Arial" w:hAnsi="Arial"/>
                <w:b w:val="0"/>
                <w:color w:val="333333"/>
                <w:sz w:val="17"/>
              </w:rPr>
            </w:pPr>
            <w:r>
              <w:rPr>
                <w:rFonts w:ascii="Arial" w:hAnsi="Arial"/>
                <w:b w:val="1"/>
                <w:color w:val="333333"/>
                <w:sz w:val="17"/>
              </w:rPr>
              <w:t>232925</w:t>
            </w:r>
          </w:p>
        </w:tc>
        <w:tc>
          <w:tcPr>
            <w:tcW w:w="104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after="0"/>
              <w:ind w:right="57"/>
              <w:jc w:val="right"/>
              <w:rPr>
                <w:rFonts w:ascii="Arial" w:hAnsi="Arial"/>
                <w:b w:val="0"/>
                <w:color w:val="333333"/>
                <w:sz w:val="17"/>
              </w:rPr>
            </w:pPr>
            <w:r>
              <w:rPr>
                <w:rFonts w:ascii="Arial" w:hAnsi="Arial"/>
                <w:b w:val="1"/>
                <w:color w:val="333333"/>
                <w:sz w:val="17"/>
              </w:rPr>
              <w:t>3.45</w:t>
            </w:r>
          </w:p>
        </w:tc>
        <w:tc>
          <w:tcPr>
            <w:tcW w:w="1001"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after="0"/>
              <w:ind w:right="57"/>
              <w:jc w:val="right"/>
              <w:rPr>
                <w:rFonts w:ascii="Arial" w:hAnsi="Arial"/>
                <w:b w:val="0"/>
                <w:color w:val="333333"/>
                <w:sz w:val="17"/>
              </w:rPr>
            </w:pPr>
            <w:r>
              <w:rPr>
                <w:rFonts w:ascii="Arial" w:hAnsi="Arial"/>
                <w:b w:val="1"/>
                <w:color w:val="333333"/>
                <w:sz w:val="17"/>
              </w:rPr>
              <w:t>127463</w:t>
            </w:r>
          </w:p>
        </w:tc>
        <w:tc>
          <w:tcPr>
            <w:tcW w:w="104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after="0"/>
              <w:ind w:right="57"/>
              <w:jc w:val="right"/>
              <w:rPr>
                <w:rFonts w:ascii="Arial" w:hAnsi="Arial"/>
                <w:b w:val="0"/>
                <w:color w:val="333333"/>
                <w:sz w:val="17"/>
              </w:rPr>
            </w:pPr>
            <w:r>
              <w:rPr>
                <w:rFonts w:ascii="Arial" w:hAnsi="Arial"/>
                <w:b w:val="1"/>
                <w:color w:val="333333"/>
                <w:sz w:val="17"/>
              </w:rPr>
              <w:t>1</w:t>
            </w:r>
            <w:r>
              <w:rPr>
                <w:rFonts w:ascii="Arial" w:hAnsi="Arial"/>
                <w:b w:val="1"/>
                <w:color w:val="333333"/>
                <w:sz w:val="17"/>
              </w:rPr>
              <w:t>.</w:t>
            </w:r>
            <w:r>
              <w:rPr>
                <w:rFonts w:ascii="Arial" w:hAnsi="Arial"/>
                <w:b w:val="1"/>
                <w:color w:val="333333"/>
                <w:sz w:val="17"/>
              </w:rPr>
              <w:t>96</w:t>
            </w:r>
          </w:p>
        </w:tc>
      </w:tr>
      <w:tr>
        <w:trPr>
          <w:wAfter w:w="0" w:type="dxa"/>
          <w:trHeight w:hRule="atLeast" w:val="255"/>
        </w:trPr>
        <w:tc>
          <w:tcPr>
            <w:tcW w:w="295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rPr>
                <w:rFonts w:ascii="Arial" w:hAnsi="Arial"/>
                <w:color w:val="333333"/>
                <w:sz w:val="17"/>
              </w:rPr>
            </w:pPr>
            <w:r>
              <w:rPr>
                <w:rFonts w:ascii="Arial" w:hAnsi="Arial"/>
                <w:color w:val="333333"/>
                <w:sz w:val="17"/>
              </w:rPr>
              <w:t>Мen</w:t>
            </w:r>
          </w:p>
        </w:tc>
        <w:tc>
          <w:tcPr>
            <w:tcW w:w="89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after="0"/>
              <w:ind w:right="57"/>
              <w:jc w:val="right"/>
              <w:rPr>
                <w:rFonts w:ascii="Arial" w:hAnsi="Arial"/>
                <w:color w:val="333333"/>
                <w:sz w:val="17"/>
              </w:rPr>
            </w:pPr>
            <w:r>
              <w:rPr>
                <w:rFonts w:ascii="Arial" w:hAnsi="Arial"/>
                <w:color w:val="333333"/>
                <w:sz w:val="17"/>
              </w:rPr>
              <w:t>35271</w:t>
            </w:r>
          </w:p>
        </w:tc>
        <w:tc>
          <w:tcPr>
            <w:tcW w:w="104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after="0"/>
              <w:ind w:right="57"/>
              <w:jc w:val="right"/>
              <w:rPr>
                <w:rFonts w:ascii="Arial" w:hAnsi="Arial"/>
                <w:color w:val="333333"/>
                <w:sz w:val="17"/>
              </w:rPr>
            </w:pPr>
            <w:r>
              <w:rPr>
                <w:rFonts w:ascii="Arial" w:hAnsi="Arial"/>
                <w:color w:val="333333"/>
                <w:sz w:val="17"/>
              </w:rPr>
              <w:t>1.08</w:t>
            </w:r>
          </w:p>
        </w:tc>
        <w:tc>
          <w:tcPr>
            <w:tcW w:w="1001"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after="0"/>
              <w:ind w:right="57"/>
              <w:jc w:val="right"/>
              <w:rPr>
                <w:rFonts w:ascii="Arial" w:hAnsi="Arial"/>
                <w:color w:val="333333"/>
                <w:sz w:val="17"/>
              </w:rPr>
            </w:pPr>
            <w:r>
              <w:rPr>
                <w:rFonts w:ascii="Arial" w:hAnsi="Arial"/>
                <w:color w:val="333333"/>
                <w:sz w:val="17"/>
              </w:rPr>
              <w:t>22831</w:t>
            </w:r>
          </w:p>
        </w:tc>
        <w:tc>
          <w:tcPr>
            <w:tcW w:w="104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after="0"/>
              <w:ind w:right="57"/>
              <w:jc w:val="right"/>
              <w:rPr>
                <w:rFonts w:ascii="Arial" w:hAnsi="Arial"/>
                <w:color w:val="333333"/>
                <w:sz w:val="17"/>
              </w:rPr>
            </w:pPr>
            <w:r>
              <w:rPr>
                <w:rFonts w:ascii="Arial" w:hAnsi="Arial"/>
                <w:color w:val="333333"/>
                <w:sz w:val="17"/>
              </w:rPr>
              <w:t>0.72</w:t>
            </w:r>
          </w:p>
        </w:tc>
      </w:tr>
      <w:tr>
        <w:trPr>
          <w:wAfter w:w="0" w:type="dxa"/>
          <w:trHeight w:hRule="atLeast" w:val="255"/>
        </w:trPr>
        <w:tc>
          <w:tcPr>
            <w:tcW w:w="295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rPr>
                <w:rFonts w:ascii="Arial" w:hAnsi="Arial"/>
                <w:color w:val="333333"/>
                <w:sz w:val="17"/>
              </w:rPr>
            </w:pPr>
            <w:r>
              <w:rPr>
                <w:rFonts w:ascii="Arial" w:hAnsi="Arial"/>
                <w:color w:val="333333"/>
                <w:sz w:val="17"/>
              </w:rPr>
              <w:t>Women</w:t>
            </w:r>
          </w:p>
        </w:tc>
        <w:tc>
          <w:tcPr>
            <w:tcW w:w="890"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after="0"/>
              <w:ind w:right="57"/>
              <w:jc w:val="right"/>
              <w:rPr>
                <w:rFonts w:ascii="Arial" w:hAnsi="Arial"/>
                <w:color w:val="333333"/>
                <w:sz w:val="17"/>
              </w:rPr>
            </w:pPr>
            <w:r>
              <w:rPr>
                <w:rFonts w:ascii="Arial" w:hAnsi="Arial"/>
                <w:color w:val="333333"/>
                <w:sz w:val="17"/>
              </w:rPr>
              <w:t>197654</w:t>
            </w:r>
          </w:p>
        </w:tc>
        <w:tc>
          <w:tcPr>
            <w:tcW w:w="104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after="0"/>
              <w:ind w:right="57"/>
              <w:jc w:val="right"/>
              <w:rPr>
                <w:rFonts w:ascii="Arial" w:hAnsi="Arial"/>
                <w:color w:val="333333"/>
                <w:sz w:val="17"/>
              </w:rPr>
            </w:pPr>
            <w:r>
              <w:rPr>
                <w:rFonts w:ascii="Arial" w:hAnsi="Arial"/>
                <w:color w:val="333333"/>
                <w:sz w:val="17"/>
              </w:rPr>
              <w:t>5.66</w:t>
            </w:r>
          </w:p>
        </w:tc>
        <w:tc>
          <w:tcPr>
            <w:tcW w:w="1001" w:type="dxa"/>
            <w:tcBorders>
              <w:top w:val="single" w:sz="4" w:space="0" w:shadow="0" w:frame="0"/>
              <w:left w:val="none" w:sz="0" w:space="0" w:shadow="0" w:frame="0"/>
              <w:bottom w:val="single" w:sz="4" w:space="0" w:shadow="0" w:frame="0"/>
              <w:right w:val="single" w:sz="4" w:space="0" w:shadow="0" w:frame="0"/>
            </w:tcBorders>
            <w:vAlign w:val="bottom"/>
          </w:tcPr>
          <w:p>
            <w:pPr>
              <w:spacing w:lineRule="auto" w:line="264" w:after="0"/>
              <w:ind w:right="57"/>
              <w:jc w:val="right"/>
              <w:rPr>
                <w:rFonts w:ascii="Arial" w:hAnsi="Arial"/>
                <w:color w:val="333333"/>
                <w:sz w:val="17"/>
              </w:rPr>
            </w:pPr>
            <w:r>
              <w:rPr>
                <w:rFonts w:ascii="Arial" w:hAnsi="Arial"/>
                <w:color w:val="333333"/>
                <w:sz w:val="17"/>
              </w:rPr>
              <w:t>104632</w:t>
            </w:r>
          </w:p>
        </w:tc>
        <w:tc>
          <w:tcPr>
            <w:tcW w:w="1047" w:type="dxa"/>
            <w:tcBorders>
              <w:top w:val="single" w:sz="4" w:space="0" w:shadow="0" w:frame="0"/>
              <w:left w:val="single" w:sz="4" w:space="0" w:shadow="0" w:frame="0"/>
              <w:bottom w:val="single" w:sz="4" w:space="0" w:shadow="0" w:frame="0"/>
              <w:right w:val="single" w:sz="4" w:space="0" w:shadow="0" w:frame="0"/>
            </w:tcBorders>
            <w:vAlign w:val="bottom"/>
          </w:tcPr>
          <w:p>
            <w:pPr>
              <w:spacing w:lineRule="auto" w:line="264" w:after="0"/>
              <w:ind w:right="57"/>
              <w:jc w:val="right"/>
              <w:rPr>
                <w:rFonts w:ascii="Arial" w:hAnsi="Arial"/>
                <w:color w:val="333333"/>
                <w:sz w:val="17"/>
              </w:rPr>
            </w:pPr>
            <w:r>
              <w:rPr>
                <w:rFonts w:ascii="Arial" w:hAnsi="Arial"/>
                <w:color w:val="333333"/>
                <w:sz w:val="17"/>
              </w:rPr>
              <w:t>3.12</w:t>
            </w:r>
          </w:p>
        </w:tc>
      </w:tr>
    </w:tbl>
    <w:p>
      <w:pPr>
        <w:spacing w:lineRule="auto" w:line="240" w:after="0"/>
        <w:jc w:val="both"/>
        <w:rPr>
          <w:rFonts w:ascii="Arial" w:hAnsi="Arial"/>
          <w:color w:val="333333"/>
          <w:sz w:val="18"/>
        </w:rPr>
      </w:pPr>
      <w:r>
        <w:rPr>
          <w:rFonts w:ascii="Arial" w:hAnsi="Arial"/>
          <w:color w:val="333333"/>
          <w:sz w:val="18"/>
        </w:rPr>
        <w:t xml:space="preserve">     </w:t>
      </w:r>
    </w:p>
    <w:p>
      <w:pPr>
        <w:spacing w:lineRule="auto" w:line="240" w:after="0"/>
        <w:jc w:val="both"/>
        <w:rPr>
          <w:rFonts w:ascii="Arial" w:hAnsi="Arial"/>
          <w:b w:val="0"/>
          <w:color w:val="333333"/>
          <w:sz w:val="18"/>
        </w:rPr>
      </w:pPr>
      <w:r>
        <w:rPr>
          <w:rFonts w:ascii="Arial" w:hAnsi="Arial"/>
          <w:color w:val="333333"/>
          <w:sz w:val="18"/>
        </w:rPr>
        <w:t xml:space="preserve">     The highest share of illiterate persons was recorded in the municipalities of Bojnik (9.09%), Crna Trava (7.58%), Gadžin Han (7.28),  Merošina (6.77%) and Medveđa (6.29).</w:t>
      </w:r>
    </w:p>
    <w:p>
      <w:pPr>
        <w:spacing w:lineRule="auto" w:line="240" w:after="0"/>
        <w:jc w:val="both"/>
        <w:rPr>
          <w:rFonts w:ascii="Arial" w:hAnsi="Arial"/>
          <w:b w:val="0"/>
          <w:color w:val="333333"/>
          <w:sz w:val="18"/>
        </w:rPr>
      </w:pPr>
    </w:p>
    <w:p>
      <w:pPr>
        <w:spacing w:lineRule="auto" w:line="240" w:after="0"/>
        <w:jc w:val="both"/>
        <w:outlineLvl w:val="0"/>
        <w:rPr>
          <w:rFonts w:ascii="Arial" w:hAnsi="Arial"/>
          <w:b w:val="0"/>
          <w:color w:val="333333"/>
          <w:sz w:val="18"/>
        </w:rPr>
      </w:pPr>
      <w:r>
        <w:rPr>
          <w:rFonts w:ascii="Arial" w:hAnsi="Arial"/>
          <w:b w:val="1"/>
          <w:color w:val="333333"/>
          <w:sz w:val="18"/>
        </w:rPr>
        <w:t>Computer litera</w:t>
      </w:r>
      <w:r>
        <w:rPr>
          <w:rFonts w:ascii="Arial" w:hAnsi="Arial"/>
          <w:b w:val="1"/>
          <w:color w:val="333333"/>
          <w:sz w:val="18"/>
        </w:rPr>
        <w:t>cy</w:t>
      </w:r>
    </w:p>
    <w:p>
      <w:pPr>
        <w:spacing w:lineRule="auto" w:line="240" w:after="0"/>
        <w:jc w:val="both"/>
        <w:rPr>
          <w:rFonts w:ascii="Arial" w:hAnsi="Arial"/>
          <w:b w:val="0"/>
          <w:color w:val="333333"/>
          <w:sz w:val="18"/>
        </w:rPr>
      </w:pPr>
    </w:p>
    <w:p>
      <w:pPr>
        <w:spacing w:lineRule="auto" w:line="240" w:before="120" w:after="0"/>
        <w:jc w:val="both"/>
        <w:rPr>
          <w:rFonts w:ascii="Arial" w:hAnsi="Arial"/>
          <w:color w:val="333333"/>
          <w:sz w:val="18"/>
        </w:rPr>
      </w:pPr>
      <w:r>
        <w:rPr>
          <w:rFonts w:ascii="Arial" w:hAnsi="Arial"/>
          <w:color w:val="333333"/>
          <w:sz w:val="18"/>
        </w:rPr>
        <w:t xml:space="preserve">     In 2011 Census, collected were for the first time data on “computer” literacy, i.e. data relative to whether a person knows text processing, creating tables, send and receive electronic mail, as well as whether a person knows how to use the Internet. </w:t>
      </w:r>
    </w:p>
    <w:p>
      <w:pPr>
        <w:spacing w:lineRule="auto" w:line="240" w:before="120" w:after="0"/>
        <w:jc w:val="both"/>
        <w:rPr>
          <w:rFonts w:ascii="Arial" w:hAnsi="Arial"/>
          <w:color w:val="333333"/>
          <w:sz w:val="18"/>
        </w:rPr>
      </w:pPr>
      <w:r>
        <w:rPr>
          <w:rFonts w:ascii="Arial" w:hAnsi="Arial"/>
          <w:color w:val="333333"/>
          <w:sz w:val="18"/>
        </w:rPr>
        <w:t xml:space="preserve">     In the Republic of Serbia 49% of persons aged 15 and over can perform one of the mentioned activites on the computer.     </w:t>
      </w:r>
    </w:p>
    <w:p>
      <w:pPr>
        <w:spacing w:lineRule="auto" w:line="240" w:after="0"/>
        <w:jc w:val="both"/>
        <w:rPr>
          <w:rFonts w:ascii="Arial" w:hAnsi="Arial"/>
          <w:color w:val="333333"/>
          <w:sz w:val="18"/>
        </w:rPr>
      </w:pPr>
      <w:r>
        <w:rPr>
          <w:rFonts w:ascii="Arial" w:hAnsi="Arial"/>
          <w:color w:val="333333"/>
          <w:sz w:val="18"/>
        </w:rPr>
        <w:t xml:space="preserve">           </w:t>
      </w:r>
    </w:p>
    <w:p>
      <w:pPr>
        <w:spacing w:after="60"/>
        <w:jc w:val="both"/>
        <w:outlineLvl w:val="0"/>
        <w:rPr>
          <w:rFonts w:ascii="Arial" w:hAnsi="Arial"/>
          <w:b w:val="0"/>
          <w:color w:val="333333"/>
          <w:sz w:val="18"/>
        </w:rPr>
      </w:pPr>
      <w:r>
        <w:rPr>
          <w:rFonts w:ascii="Arial" w:hAnsi="Arial"/>
          <w:color w:val="333333"/>
          <w:sz w:val="18"/>
        </w:rPr>
        <w:t xml:space="preserve">     </w:t>
      </w:r>
      <w:r>
        <w:rPr>
          <w:rFonts w:ascii="Arial" w:hAnsi="Arial"/>
          <w:b w:val="1"/>
          <w:color w:val="333333"/>
          <w:sz w:val="18"/>
        </w:rPr>
        <w:t>Population aged 15 and over by computer literacy and sex, 2011 Census</w:t>
      </w:r>
    </w:p>
    <w:tbl>
      <w:tblPr>
        <w:tblStyle w:val="T2"/>
        <w:tblW w:w="9013" w:type="dxa"/>
        <w:jc w:val="center"/>
        <w:tblInd w:w="-714" w:type="dxa"/>
        <w:tblLayout w:type="autofit"/>
      </w:tblPr>
      <w:tblGrid/>
      <w:tr>
        <w:trPr>
          <w:wAfter w:w="0" w:type="dxa"/>
          <w:trHeight w:hRule="atLeast" w:val="283"/>
        </w:trPr>
        <w:tc>
          <w:tcPr>
            <w:tcW w:w="2958" w:type="dxa"/>
            <w:vMerge w:val="restart"/>
            <w:tcBorders>
              <w:top w:val="single" w:sz="4" w:space="0" w:shadow="0" w:frame="0"/>
              <w:left w:val="single" w:sz="4" w:space="0" w:shadow="0" w:frame="0"/>
              <w:right w:val="single" w:sz="4" w:space="0" w:shadow="0" w:frame="0"/>
            </w:tcBorders>
            <w:vAlign w:val="bottom"/>
          </w:tcPr>
          <w:p>
            <w:pPr>
              <w:spacing w:lineRule="auto" w:line="240" w:after="0"/>
              <w:rPr>
                <w:rFonts w:ascii="Arial" w:hAnsi="Arial"/>
                <w:color w:val="333333"/>
                <w:sz w:val="17"/>
              </w:rPr>
            </w:pPr>
            <w:r>
              <w:rPr>
                <w:rFonts w:ascii="Arial" w:hAnsi="Arial"/>
                <w:color w:val="333333"/>
                <w:sz w:val="17"/>
              </w:rPr>
              <w:t> </w:t>
            </w:r>
          </w:p>
        </w:tc>
        <w:tc>
          <w:tcPr>
            <w:tcW w:w="1089" w:type="dxa"/>
            <w:vMerge w:val="restart"/>
            <w:tcBorders>
              <w:top w:val="single" w:sz="4" w:space="0" w:shadow="0" w:frame="0"/>
              <w:left w:val="none" w:sz="0" w:space="0" w:shadow="0" w:frame="0"/>
              <w:right w:val="single" w:sz="4" w:space="0" w:shadow="0" w:frame="0"/>
            </w:tcBorders>
            <w:vAlign w:val="center"/>
          </w:tcPr>
          <w:p>
            <w:pPr>
              <w:spacing w:lineRule="auto" w:line="240" w:after="0"/>
              <w:jc w:val="center"/>
              <w:rPr>
                <w:rFonts w:ascii="Arial" w:hAnsi="Arial"/>
                <w:color w:val="333333"/>
                <w:sz w:val="17"/>
              </w:rPr>
            </w:pPr>
            <w:r>
              <w:rPr>
                <w:rFonts w:ascii="Arial" w:hAnsi="Arial"/>
                <w:color w:val="333333"/>
                <w:sz w:val="17"/>
              </w:rPr>
              <w:t>Total population</w:t>
            </w:r>
          </w:p>
        </w:tc>
        <w:tc>
          <w:tcPr>
            <w:tcW w:w="1635"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Arial" w:hAnsi="Arial"/>
                <w:color w:val="333333"/>
                <w:sz w:val="17"/>
              </w:rPr>
            </w:pPr>
            <w:r>
              <w:rPr>
                <w:rFonts w:ascii="Arial" w:hAnsi="Arial"/>
                <w:color w:val="333333"/>
                <w:sz w:val="17"/>
              </w:rPr>
              <w:t>Computer literate persons</w:t>
            </w:r>
          </w:p>
        </w:tc>
        <w:tc>
          <w:tcPr>
            <w:tcW w:w="1611" w:type="dxa"/>
            <w:gridSpan w:val="2"/>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Arial" w:hAnsi="Arial"/>
                <w:color w:val="333333"/>
                <w:sz w:val="17"/>
              </w:rPr>
            </w:pPr>
            <w:r>
              <w:rPr>
                <w:rFonts w:ascii="Arial" w:hAnsi="Arial"/>
                <w:color w:val="333333"/>
                <w:sz w:val="17"/>
              </w:rPr>
              <w:t>Persons with partial computer skills</w:t>
            </w:r>
          </w:p>
        </w:tc>
        <w:tc>
          <w:tcPr>
            <w:tcW w:w="1720" w:type="dxa"/>
            <w:gridSpan w:val="2"/>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Arial" w:hAnsi="Arial"/>
                <w:color w:val="333333"/>
                <w:sz w:val="17"/>
              </w:rPr>
            </w:pPr>
            <w:r>
              <w:rPr>
                <w:rFonts w:ascii="Arial" w:hAnsi="Arial"/>
                <w:color w:val="333333"/>
                <w:sz w:val="17"/>
              </w:rPr>
              <w:t>Computer illiterate persons</w:t>
            </w:r>
          </w:p>
        </w:tc>
      </w:tr>
      <w:tr>
        <w:trPr>
          <w:wAfter w:w="0" w:type="dxa"/>
          <w:trHeight w:hRule="atLeast" w:val="255"/>
        </w:trPr>
        <w:tc>
          <w:tcPr>
            <w:tcW w:w="2958" w:type="dxa"/>
            <w:vMerge w:val="continue"/>
            <w:tcBorders>
              <w:left w:val="single" w:sz="4" w:space="0" w:shadow="0" w:frame="0"/>
              <w:bottom w:val="single" w:sz="4" w:space="0" w:shadow="0" w:frame="0"/>
              <w:right w:val="single" w:sz="4" w:space="0" w:shadow="0" w:frame="0"/>
            </w:tcBorders>
            <w:vAlign w:val="bottom"/>
          </w:tcPr>
          <w:p>
            <w:pPr>
              <w:spacing w:lineRule="auto" w:line="240" w:after="0"/>
              <w:rPr>
                <w:rFonts w:ascii="Arial" w:hAnsi="Arial"/>
                <w:color w:val="333333"/>
                <w:sz w:val="17"/>
              </w:rPr>
            </w:pPr>
          </w:p>
        </w:tc>
        <w:tc>
          <w:tcPr>
            <w:tcW w:w="1089" w:type="dxa"/>
            <w:vMerge w:val="continue"/>
            <w:tcBorders>
              <w:left w:val="none" w:sz="0" w:space="0" w:shadow="0" w:frame="0"/>
              <w:bottom w:val="single" w:sz="4" w:space="0" w:shadow="0" w:frame="0"/>
              <w:right w:val="single" w:sz="4" w:space="0" w:shadow="0" w:frame="0"/>
            </w:tcBorders>
            <w:vAlign w:val="center"/>
          </w:tcPr>
          <w:p>
            <w:pPr>
              <w:spacing w:lineRule="auto" w:line="240" w:after="0"/>
              <w:jc w:val="center"/>
              <w:rPr>
                <w:rFonts w:ascii="Arial" w:hAnsi="Arial"/>
                <w:color w:val="333333"/>
                <w:sz w:val="17"/>
              </w:rPr>
            </w:pPr>
          </w:p>
        </w:tc>
        <w:tc>
          <w:tcPr>
            <w:tcW w:w="91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jc w:val="center"/>
              <w:rPr>
                <w:rFonts w:ascii="Arial" w:hAnsi="Arial"/>
                <w:color w:val="333333"/>
                <w:sz w:val="17"/>
              </w:rPr>
            </w:pPr>
            <w:r>
              <w:rPr>
                <w:rFonts w:ascii="Arial" w:hAnsi="Arial"/>
                <w:color w:val="333333"/>
                <w:sz w:val="17"/>
              </w:rPr>
              <w:t>Total</w:t>
            </w:r>
          </w:p>
        </w:tc>
        <w:tc>
          <w:tcPr>
            <w:tcW w:w="719"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Arial" w:hAnsi="Arial"/>
                <w:color w:val="333333"/>
                <w:sz w:val="17"/>
              </w:rPr>
            </w:pPr>
            <w:r>
              <w:rPr>
                <w:rFonts w:ascii="Arial" w:hAnsi="Arial"/>
                <w:color w:val="333333"/>
                <w:sz w:val="17"/>
              </w:rPr>
              <w:t>%</w:t>
            </w:r>
          </w:p>
        </w:tc>
        <w:tc>
          <w:tcPr>
            <w:tcW w:w="890"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Arial" w:hAnsi="Arial"/>
                <w:color w:val="333333"/>
                <w:sz w:val="17"/>
              </w:rPr>
            </w:pPr>
            <w:r>
              <w:rPr>
                <w:rFonts w:ascii="Arial" w:hAnsi="Arial"/>
                <w:color w:val="333333"/>
                <w:sz w:val="17"/>
              </w:rPr>
              <w:t>Total</w:t>
            </w:r>
          </w:p>
        </w:tc>
        <w:tc>
          <w:tcPr>
            <w:tcW w:w="721"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Arial" w:hAnsi="Arial"/>
                <w:color w:val="333333"/>
                <w:sz w:val="17"/>
              </w:rPr>
            </w:pPr>
            <w:r>
              <w:rPr>
                <w:rFonts w:ascii="Arial" w:hAnsi="Arial"/>
                <w:color w:val="333333"/>
                <w:sz w:val="17"/>
              </w:rPr>
              <w:t>%</w:t>
            </w:r>
          </w:p>
        </w:tc>
        <w:tc>
          <w:tcPr>
            <w:tcW w:w="1001"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Arial" w:hAnsi="Arial"/>
                <w:color w:val="333333"/>
                <w:sz w:val="17"/>
              </w:rPr>
            </w:pPr>
            <w:r>
              <w:rPr>
                <w:rFonts w:ascii="Arial" w:hAnsi="Arial"/>
                <w:color w:val="333333"/>
                <w:sz w:val="17"/>
              </w:rPr>
              <w:t>Total</w:t>
            </w:r>
          </w:p>
        </w:tc>
        <w:tc>
          <w:tcPr>
            <w:tcW w:w="719" w:type="dxa"/>
            <w:tcBorders>
              <w:top w:val="single" w:sz="4" w:space="0" w:shadow="0" w:frame="0"/>
              <w:left w:val="none" w:sz="0" w:space="0" w:shadow="0" w:frame="0"/>
              <w:bottom w:val="single" w:sz="4" w:space="0" w:shadow="0" w:frame="0"/>
              <w:right w:val="single" w:sz="4" w:space="0" w:shadow="0" w:frame="0"/>
            </w:tcBorders>
            <w:vAlign w:val="center"/>
          </w:tcPr>
          <w:p>
            <w:pPr>
              <w:spacing w:lineRule="auto" w:line="240" w:after="0"/>
              <w:jc w:val="center"/>
              <w:rPr>
                <w:rFonts w:ascii="Arial" w:hAnsi="Arial"/>
                <w:color w:val="333333"/>
                <w:sz w:val="17"/>
              </w:rPr>
            </w:pPr>
            <w:r>
              <w:rPr>
                <w:rFonts w:ascii="Arial" w:hAnsi="Arial"/>
                <w:color w:val="333333"/>
                <w:sz w:val="17"/>
              </w:rPr>
              <w:t>%</w:t>
            </w:r>
          </w:p>
        </w:tc>
      </w:tr>
      <w:tr>
        <w:trPr>
          <w:wAfter w:w="0" w:type="dxa"/>
          <w:trHeight w:hRule="atLeast" w:val="255"/>
        </w:trPr>
        <w:tc>
          <w:tcPr>
            <w:tcW w:w="295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30"/>
              <w:rPr>
                <w:rFonts w:ascii="Arial" w:hAnsi="Arial"/>
                <w:b w:val="0"/>
                <w:color w:val="333333"/>
                <w:sz w:val="17"/>
              </w:rPr>
            </w:pPr>
            <w:r>
              <w:rPr>
                <w:rFonts w:ascii="Arial" w:hAnsi="Arial"/>
                <w:b w:val="1"/>
                <w:color w:val="333333"/>
                <w:sz w:val="17"/>
              </w:rPr>
              <w:t>Republic of Serbia</w:t>
            </w:r>
          </w:p>
        </w:tc>
        <w:tc>
          <w:tcPr>
            <w:tcW w:w="1089"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40" w:after="0"/>
              <w:jc w:val="right"/>
              <w:rPr>
                <w:rFonts w:ascii="Arial" w:hAnsi="Arial"/>
                <w:b w:val="0"/>
                <w:color w:val="333333"/>
                <w:sz w:val="17"/>
              </w:rPr>
            </w:pPr>
            <w:r>
              <w:rPr>
                <w:rFonts w:ascii="Arial" w:hAnsi="Arial"/>
                <w:b w:val="1"/>
                <w:color w:val="333333"/>
                <w:sz w:val="17"/>
              </w:rPr>
              <w:t>6161584</w:t>
            </w:r>
          </w:p>
        </w:tc>
        <w:tc>
          <w:tcPr>
            <w:tcW w:w="916" w:type="dxa"/>
            <w:tcBorders>
              <w:top w:val="none" w:sz="0" w:space="0" w:shadow="0" w:frame="0"/>
              <w:left w:val="single" w:sz="4" w:space="0" w:shadow="0" w:frame="0"/>
              <w:bottom w:val="single" w:sz="4" w:space="0" w:shadow="0" w:frame="0"/>
              <w:right w:val="single" w:sz="4" w:space="0" w:shadow="0" w:frame="0"/>
            </w:tcBorders>
            <w:vAlign w:val="bottom"/>
          </w:tcPr>
          <w:p>
            <w:pPr>
              <w:spacing w:lineRule="auto" w:line="240" w:after="0"/>
              <w:jc w:val="right"/>
              <w:rPr>
                <w:rFonts w:ascii="Arial" w:hAnsi="Arial"/>
                <w:b w:val="0"/>
                <w:color w:val="333333"/>
                <w:sz w:val="17"/>
              </w:rPr>
            </w:pPr>
            <w:r>
              <w:rPr>
                <w:rFonts w:ascii="Arial" w:hAnsi="Arial"/>
                <w:b w:val="1"/>
                <w:color w:val="333333"/>
                <w:sz w:val="17"/>
              </w:rPr>
              <w:t>2108144</w:t>
            </w:r>
          </w:p>
        </w:tc>
        <w:tc>
          <w:tcPr>
            <w:tcW w:w="719" w:type="dxa"/>
            <w:tcBorders>
              <w:top w:val="none" w:sz="0" w:space="0" w:shadow="0" w:frame="0"/>
              <w:left w:val="none" w:sz="0" w:space="0" w:shadow="0" w:frame="0"/>
              <w:bottom w:val="single" w:sz="4" w:space="0" w:shadow="0" w:frame="0"/>
              <w:right w:val="single" w:sz="4" w:space="0" w:shadow="0" w:frame="0"/>
            </w:tcBorders>
            <w:vAlign w:val="bottom"/>
          </w:tcPr>
          <w:p>
            <w:pPr>
              <w:spacing w:after="0"/>
              <w:jc w:val="right"/>
              <w:rPr>
                <w:rFonts w:ascii="Arial" w:hAnsi="Arial"/>
                <w:b w:val="0"/>
                <w:color w:val="333333"/>
                <w:sz w:val="17"/>
              </w:rPr>
            </w:pPr>
            <w:r>
              <w:rPr>
                <w:rFonts w:ascii="Arial" w:hAnsi="Arial"/>
                <w:b w:val="1"/>
                <w:color w:val="333333"/>
                <w:sz w:val="17"/>
              </w:rPr>
              <w:t>34.21</w:t>
            </w:r>
          </w:p>
        </w:tc>
        <w:tc>
          <w:tcPr>
            <w:tcW w:w="890"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40" w:after="0"/>
              <w:jc w:val="right"/>
              <w:rPr>
                <w:rFonts w:ascii="Arial" w:hAnsi="Arial"/>
                <w:b w:val="0"/>
                <w:color w:val="333333"/>
                <w:sz w:val="17"/>
              </w:rPr>
            </w:pPr>
            <w:r>
              <w:rPr>
                <w:rFonts w:ascii="Arial" w:hAnsi="Arial"/>
                <w:b w:val="1"/>
                <w:color w:val="333333"/>
                <w:sz w:val="17"/>
              </w:rPr>
              <w:t>910586</w:t>
            </w:r>
          </w:p>
        </w:tc>
        <w:tc>
          <w:tcPr>
            <w:tcW w:w="721" w:type="dxa"/>
            <w:tcBorders>
              <w:top w:val="none" w:sz="0" w:space="0" w:shadow="0" w:frame="0"/>
              <w:left w:val="none" w:sz="0" w:space="0" w:shadow="0" w:frame="0"/>
              <w:bottom w:val="single" w:sz="4" w:space="0" w:shadow="0" w:frame="0"/>
              <w:right w:val="single" w:sz="4" w:space="0" w:shadow="0" w:frame="0"/>
            </w:tcBorders>
            <w:vAlign w:val="bottom"/>
          </w:tcPr>
          <w:p>
            <w:pPr>
              <w:spacing w:after="0"/>
              <w:jc w:val="right"/>
              <w:rPr>
                <w:rFonts w:ascii="Arial" w:hAnsi="Arial"/>
                <w:b w:val="0"/>
                <w:color w:val="333333"/>
                <w:sz w:val="17"/>
              </w:rPr>
            </w:pPr>
            <w:r>
              <w:rPr>
                <w:rFonts w:ascii="Arial" w:hAnsi="Arial"/>
                <w:b w:val="1"/>
                <w:color w:val="333333"/>
                <w:sz w:val="17"/>
              </w:rPr>
              <w:t>14.78</w:t>
            </w:r>
          </w:p>
        </w:tc>
        <w:tc>
          <w:tcPr>
            <w:tcW w:w="1001"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40" w:after="0"/>
              <w:jc w:val="right"/>
              <w:rPr>
                <w:rFonts w:ascii="Arial" w:hAnsi="Arial"/>
                <w:b w:val="0"/>
                <w:color w:val="333333"/>
                <w:sz w:val="17"/>
              </w:rPr>
            </w:pPr>
            <w:r>
              <w:rPr>
                <w:rFonts w:ascii="Arial" w:hAnsi="Arial"/>
                <w:b w:val="1"/>
                <w:color w:val="333333"/>
                <w:sz w:val="17"/>
              </w:rPr>
              <w:t>3142854</w:t>
            </w:r>
          </w:p>
        </w:tc>
        <w:tc>
          <w:tcPr>
            <w:tcW w:w="719" w:type="dxa"/>
            <w:tcBorders>
              <w:top w:val="none" w:sz="0" w:space="0" w:shadow="0" w:frame="0"/>
              <w:left w:val="none" w:sz="0" w:space="0" w:shadow="0" w:frame="0"/>
              <w:bottom w:val="single" w:sz="4" w:space="0" w:shadow="0" w:frame="0"/>
              <w:right w:val="single" w:sz="4" w:space="0" w:shadow="0" w:frame="0"/>
            </w:tcBorders>
            <w:vAlign w:val="bottom"/>
          </w:tcPr>
          <w:p>
            <w:pPr>
              <w:spacing w:after="0"/>
              <w:jc w:val="right"/>
              <w:rPr>
                <w:rFonts w:ascii="Arial" w:hAnsi="Arial"/>
                <w:b w:val="0"/>
                <w:color w:val="333333"/>
                <w:sz w:val="17"/>
              </w:rPr>
            </w:pPr>
            <w:r>
              <w:rPr>
                <w:rFonts w:ascii="Arial" w:hAnsi="Arial"/>
                <w:b w:val="1"/>
                <w:color w:val="333333"/>
                <w:sz w:val="17"/>
              </w:rPr>
              <w:t>51.01</w:t>
            </w:r>
          </w:p>
        </w:tc>
      </w:tr>
      <w:tr>
        <w:trPr>
          <w:wAfter w:w="0" w:type="dxa"/>
          <w:trHeight w:hRule="atLeast" w:val="255"/>
        </w:trPr>
        <w:tc>
          <w:tcPr>
            <w:tcW w:w="295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rPr>
                <w:rFonts w:ascii="Arial" w:hAnsi="Arial"/>
                <w:color w:val="333333"/>
                <w:sz w:val="17"/>
              </w:rPr>
            </w:pPr>
            <w:r>
              <w:rPr>
                <w:rFonts w:ascii="Arial" w:hAnsi="Arial"/>
                <w:color w:val="333333"/>
                <w:sz w:val="17"/>
              </w:rPr>
              <w:t>Мen</w:t>
            </w:r>
          </w:p>
        </w:tc>
        <w:tc>
          <w:tcPr>
            <w:tcW w:w="1089"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40" w:after="0"/>
              <w:jc w:val="right"/>
              <w:rPr>
                <w:rFonts w:ascii="Arial" w:hAnsi="Arial"/>
                <w:color w:val="333333"/>
                <w:sz w:val="17"/>
              </w:rPr>
            </w:pPr>
            <w:r>
              <w:rPr>
                <w:rFonts w:ascii="Arial" w:hAnsi="Arial"/>
                <w:color w:val="333333"/>
                <w:sz w:val="17"/>
              </w:rPr>
              <w:t>2971868</w:t>
            </w:r>
          </w:p>
        </w:tc>
        <w:tc>
          <w:tcPr>
            <w:tcW w:w="916" w:type="dxa"/>
            <w:tcBorders>
              <w:top w:val="none" w:sz="0" w:space="0" w:shadow="0" w:frame="0"/>
              <w:left w:val="single" w:sz="4" w:space="0" w:shadow="0" w:frame="0"/>
              <w:bottom w:val="single" w:sz="4" w:space="0" w:shadow="0" w:frame="0"/>
              <w:right w:val="single" w:sz="4" w:space="0" w:shadow="0" w:frame="0"/>
            </w:tcBorders>
            <w:vAlign w:val="bottom"/>
          </w:tcPr>
          <w:p>
            <w:pPr>
              <w:spacing w:lineRule="auto" w:line="240" w:after="0"/>
              <w:jc w:val="right"/>
              <w:rPr>
                <w:rFonts w:ascii="Arial" w:hAnsi="Arial"/>
                <w:color w:val="333333"/>
                <w:sz w:val="17"/>
              </w:rPr>
            </w:pPr>
            <w:r>
              <w:rPr>
                <w:rFonts w:ascii="Arial" w:hAnsi="Arial"/>
                <w:color w:val="333333"/>
                <w:sz w:val="17"/>
              </w:rPr>
              <w:t>1062125</w:t>
            </w:r>
          </w:p>
        </w:tc>
        <w:tc>
          <w:tcPr>
            <w:tcW w:w="719" w:type="dxa"/>
            <w:tcBorders>
              <w:top w:val="none" w:sz="0" w:space="0" w:shadow="0" w:frame="0"/>
              <w:left w:val="none" w:sz="0" w:space="0" w:shadow="0" w:frame="0"/>
              <w:bottom w:val="single" w:sz="4" w:space="0" w:shadow="0" w:frame="0"/>
              <w:right w:val="single" w:sz="4" w:space="0" w:shadow="0" w:frame="0"/>
            </w:tcBorders>
            <w:vAlign w:val="bottom"/>
          </w:tcPr>
          <w:p>
            <w:pPr>
              <w:spacing w:after="0"/>
              <w:jc w:val="right"/>
              <w:rPr>
                <w:rFonts w:ascii="Arial" w:hAnsi="Arial"/>
                <w:color w:val="333333"/>
                <w:sz w:val="17"/>
              </w:rPr>
            </w:pPr>
            <w:r>
              <w:rPr>
                <w:rFonts w:ascii="Arial" w:hAnsi="Arial"/>
                <w:color w:val="333333"/>
                <w:sz w:val="17"/>
              </w:rPr>
              <w:t>35.74</w:t>
            </w:r>
          </w:p>
        </w:tc>
        <w:tc>
          <w:tcPr>
            <w:tcW w:w="890"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40" w:after="0"/>
              <w:jc w:val="right"/>
              <w:rPr>
                <w:rFonts w:ascii="Arial" w:hAnsi="Arial"/>
                <w:color w:val="333333"/>
                <w:sz w:val="17"/>
              </w:rPr>
            </w:pPr>
            <w:r>
              <w:rPr>
                <w:rFonts w:ascii="Arial" w:hAnsi="Arial"/>
                <w:color w:val="333333"/>
                <w:sz w:val="17"/>
              </w:rPr>
              <w:t>463780</w:t>
            </w:r>
          </w:p>
        </w:tc>
        <w:tc>
          <w:tcPr>
            <w:tcW w:w="721" w:type="dxa"/>
            <w:tcBorders>
              <w:top w:val="none" w:sz="0" w:space="0" w:shadow="0" w:frame="0"/>
              <w:left w:val="none" w:sz="0" w:space="0" w:shadow="0" w:frame="0"/>
              <w:bottom w:val="single" w:sz="4" w:space="0" w:shadow="0" w:frame="0"/>
              <w:right w:val="single" w:sz="4" w:space="0" w:shadow="0" w:frame="0"/>
            </w:tcBorders>
            <w:vAlign w:val="bottom"/>
          </w:tcPr>
          <w:p>
            <w:pPr>
              <w:spacing w:after="0"/>
              <w:jc w:val="right"/>
              <w:rPr>
                <w:rFonts w:ascii="Arial" w:hAnsi="Arial"/>
                <w:color w:val="333333"/>
                <w:sz w:val="17"/>
              </w:rPr>
            </w:pPr>
            <w:r>
              <w:rPr>
                <w:rFonts w:ascii="Arial" w:hAnsi="Arial"/>
                <w:color w:val="333333"/>
                <w:sz w:val="17"/>
              </w:rPr>
              <w:t>15.61</w:t>
            </w:r>
          </w:p>
        </w:tc>
        <w:tc>
          <w:tcPr>
            <w:tcW w:w="1001"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40" w:after="0"/>
              <w:jc w:val="right"/>
              <w:rPr>
                <w:rFonts w:ascii="Arial" w:hAnsi="Arial"/>
                <w:color w:val="333333"/>
                <w:sz w:val="17"/>
              </w:rPr>
            </w:pPr>
            <w:r>
              <w:rPr>
                <w:rFonts w:ascii="Arial" w:hAnsi="Arial"/>
                <w:color w:val="333333"/>
                <w:sz w:val="17"/>
              </w:rPr>
              <w:t>1445963</w:t>
            </w:r>
          </w:p>
        </w:tc>
        <w:tc>
          <w:tcPr>
            <w:tcW w:w="719" w:type="dxa"/>
            <w:tcBorders>
              <w:top w:val="none" w:sz="0" w:space="0" w:shadow="0" w:frame="0"/>
              <w:left w:val="none" w:sz="0" w:space="0" w:shadow="0" w:frame="0"/>
              <w:bottom w:val="single" w:sz="4" w:space="0" w:shadow="0" w:frame="0"/>
              <w:right w:val="single" w:sz="4" w:space="0" w:shadow="0" w:frame="0"/>
            </w:tcBorders>
            <w:vAlign w:val="bottom"/>
          </w:tcPr>
          <w:p>
            <w:pPr>
              <w:spacing w:after="0"/>
              <w:jc w:val="right"/>
              <w:rPr>
                <w:rFonts w:ascii="Arial" w:hAnsi="Arial"/>
                <w:color w:val="333333"/>
                <w:sz w:val="17"/>
              </w:rPr>
            </w:pPr>
            <w:r>
              <w:rPr>
                <w:rFonts w:ascii="Arial" w:hAnsi="Arial"/>
                <w:color w:val="333333"/>
                <w:sz w:val="17"/>
              </w:rPr>
              <w:t>48.65</w:t>
            </w:r>
          </w:p>
        </w:tc>
      </w:tr>
      <w:tr>
        <w:trPr>
          <w:wAfter w:w="0" w:type="dxa"/>
          <w:trHeight w:hRule="atLeast" w:val="255"/>
        </w:trPr>
        <w:tc>
          <w:tcPr>
            <w:tcW w:w="2958"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rPr>
                <w:rFonts w:ascii="Arial" w:hAnsi="Arial"/>
                <w:color w:val="333333"/>
                <w:sz w:val="17"/>
              </w:rPr>
            </w:pPr>
            <w:r>
              <w:rPr>
                <w:rFonts w:ascii="Arial" w:hAnsi="Arial"/>
                <w:color w:val="333333"/>
                <w:sz w:val="17"/>
              </w:rPr>
              <w:t>Women</w:t>
            </w:r>
          </w:p>
        </w:tc>
        <w:tc>
          <w:tcPr>
            <w:tcW w:w="1089"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40" w:after="0"/>
              <w:jc w:val="right"/>
              <w:rPr>
                <w:rFonts w:ascii="Arial" w:hAnsi="Arial"/>
                <w:color w:val="333333"/>
                <w:sz w:val="17"/>
              </w:rPr>
            </w:pPr>
            <w:r>
              <w:rPr>
                <w:rFonts w:ascii="Arial" w:hAnsi="Arial"/>
                <w:color w:val="333333"/>
                <w:sz w:val="17"/>
              </w:rPr>
              <w:t>3189716</w:t>
            </w:r>
          </w:p>
        </w:tc>
        <w:tc>
          <w:tcPr>
            <w:tcW w:w="916" w:type="dxa"/>
            <w:tcBorders>
              <w:top w:val="none" w:sz="0" w:space="0" w:shadow="0" w:frame="0"/>
              <w:left w:val="single" w:sz="4" w:space="0" w:shadow="0" w:frame="0"/>
              <w:bottom w:val="single" w:sz="4" w:space="0" w:shadow="0" w:frame="0"/>
              <w:right w:val="single" w:sz="4" w:space="0" w:shadow="0" w:frame="0"/>
            </w:tcBorders>
            <w:vAlign w:val="bottom"/>
          </w:tcPr>
          <w:p>
            <w:pPr>
              <w:spacing w:lineRule="auto" w:line="240" w:after="0"/>
              <w:jc w:val="right"/>
              <w:rPr>
                <w:rFonts w:ascii="Arial" w:hAnsi="Arial"/>
                <w:color w:val="333333"/>
                <w:sz w:val="17"/>
              </w:rPr>
            </w:pPr>
            <w:r>
              <w:rPr>
                <w:rFonts w:ascii="Arial" w:hAnsi="Arial"/>
                <w:color w:val="333333"/>
                <w:sz w:val="17"/>
              </w:rPr>
              <w:t>1046019</w:t>
            </w:r>
          </w:p>
        </w:tc>
        <w:tc>
          <w:tcPr>
            <w:tcW w:w="719" w:type="dxa"/>
            <w:tcBorders>
              <w:top w:val="none" w:sz="0" w:space="0" w:shadow="0" w:frame="0"/>
              <w:left w:val="none" w:sz="0" w:space="0" w:shadow="0" w:frame="0"/>
              <w:bottom w:val="single" w:sz="4" w:space="0" w:shadow="0" w:frame="0"/>
              <w:right w:val="single" w:sz="4" w:space="0" w:shadow="0" w:frame="0"/>
            </w:tcBorders>
            <w:vAlign w:val="bottom"/>
          </w:tcPr>
          <w:p>
            <w:pPr>
              <w:spacing w:after="0"/>
              <w:jc w:val="right"/>
              <w:rPr>
                <w:rFonts w:ascii="Arial" w:hAnsi="Arial"/>
                <w:color w:val="333333"/>
                <w:sz w:val="17"/>
              </w:rPr>
            </w:pPr>
            <w:r>
              <w:rPr>
                <w:rFonts w:ascii="Arial" w:hAnsi="Arial"/>
                <w:color w:val="333333"/>
                <w:sz w:val="17"/>
              </w:rPr>
              <w:t>32.79</w:t>
            </w:r>
          </w:p>
        </w:tc>
        <w:tc>
          <w:tcPr>
            <w:tcW w:w="890"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40" w:after="0"/>
              <w:jc w:val="right"/>
              <w:rPr>
                <w:rFonts w:ascii="Arial" w:hAnsi="Arial"/>
                <w:color w:val="333333"/>
                <w:sz w:val="17"/>
              </w:rPr>
            </w:pPr>
            <w:r>
              <w:rPr>
                <w:rFonts w:ascii="Arial" w:hAnsi="Arial"/>
                <w:color w:val="333333"/>
                <w:sz w:val="17"/>
              </w:rPr>
              <w:t>446806</w:t>
            </w:r>
          </w:p>
        </w:tc>
        <w:tc>
          <w:tcPr>
            <w:tcW w:w="721" w:type="dxa"/>
            <w:tcBorders>
              <w:top w:val="none" w:sz="0" w:space="0" w:shadow="0" w:frame="0"/>
              <w:left w:val="none" w:sz="0" w:space="0" w:shadow="0" w:frame="0"/>
              <w:bottom w:val="single" w:sz="4" w:space="0" w:shadow="0" w:frame="0"/>
              <w:right w:val="single" w:sz="4" w:space="0" w:shadow="0" w:frame="0"/>
            </w:tcBorders>
            <w:vAlign w:val="bottom"/>
          </w:tcPr>
          <w:p>
            <w:pPr>
              <w:spacing w:after="0"/>
              <w:jc w:val="right"/>
              <w:rPr>
                <w:rFonts w:ascii="Arial" w:hAnsi="Arial"/>
                <w:color w:val="333333"/>
                <w:sz w:val="17"/>
              </w:rPr>
            </w:pPr>
            <w:r>
              <w:rPr>
                <w:rFonts w:ascii="Arial" w:hAnsi="Arial"/>
                <w:color w:val="333333"/>
                <w:sz w:val="17"/>
              </w:rPr>
              <w:t>14.01</w:t>
            </w:r>
          </w:p>
        </w:tc>
        <w:tc>
          <w:tcPr>
            <w:tcW w:w="1001" w:type="dxa"/>
            <w:tcBorders>
              <w:top w:val="none" w:sz="0" w:space="0" w:shadow="0" w:frame="0"/>
              <w:left w:val="none" w:sz="0" w:space="0" w:shadow="0" w:frame="0"/>
              <w:bottom w:val="single" w:sz="4" w:space="0" w:shadow="0" w:frame="0"/>
              <w:right w:val="single" w:sz="4" w:space="0" w:shadow="0" w:frame="0"/>
            </w:tcBorders>
            <w:vAlign w:val="bottom"/>
          </w:tcPr>
          <w:p>
            <w:pPr>
              <w:spacing w:lineRule="auto" w:line="240" w:after="0"/>
              <w:jc w:val="right"/>
              <w:rPr>
                <w:rFonts w:ascii="Arial" w:hAnsi="Arial"/>
                <w:color w:val="333333"/>
                <w:sz w:val="17"/>
              </w:rPr>
            </w:pPr>
            <w:r>
              <w:rPr>
                <w:rFonts w:ascii="Arial" w:hAnsi="Arial"/>
                <w:color w:val="333333"/>
                <w:sz w:val="17"/>
              </w:rPr>
              <w:t>1696891</w:t>
            </w:r>
          </w:p>
        </w:tc>
        <w:tc>
          <w:tcPr>
            <w:tcW w:w="719" w:type="dxa"/>
            <w:tcBorders>
              <w:top w:val="none" w:sz="0" w:space="0" w:shadow="0" w:frame="0"/>
              <w:left w:val="none" w:sz="0" w:space="0" w:shadow="0" w:frame="0"/>
              <w:bottom w:val="single" w:sz="4" w:space="0" w:shadow="0" w:frame="0"/>
              <w:right w:val="single" w:sz="4" w:space="0" w:shadow="0" w:frame="0"/>
            </w:tcBorders>
            <w:vAlign w:val="bottom"/>
          </w:tcPr>
          <w:p>
            <w:pPr>
              <w:spacing w:after="0"/>
              <w:jc w:val="right"/>
              <w:rPr>
                <w:rFonts w:ascii="Arial" w:hAnsi="Arial"/>
                <w:color w:val="333333"/>
                <w:sz w:val="17"/>
              </w:rPr>
            </w:pPr>
            <w:r>
              <w:rPr>
                <w:rFonts w:ascii="Arial" w:hAnsi="Arial"/>
                <w:color w:val="333333"/>
                <w:sz w:val="17"/>
              </w:rPr>
              <w:t>53.20</w:t>
            </w:r>
          </w:p>
        </w:tc>
      </w:tr>
    </w:tbl>
    <w:p>
      <w:pPr>
        <w:spacing w:lineRule="auto" w:line="240" w:after="0"/>
        <w:jc w:val="both"/>
        <w:rPr>
          <w:rFonts w:ascii="Arial" w:hAnsi="Arial"/>
          <w:color w:val="333333"/>
          <w:sz w:val="18"/>
        </w:rPr>
      </w:pPr>
      <w:r>
        <w:rPr>
          <w:rFonts w:ascii="Arial" w:hAnsi="Arial"/>
          <w:color w:val="333333"/>
          <w:sz w:val="18"/>
        </w:rPr>
        <w:t xml:space="preserve">      </w:t>
      </w:r>
    </w:p>
    <w:p>
      <w:pPr>
        <w:spacing w:lineRule="auto" w:line="240" w:before="120" w:after="0"/>
        <w:ind w:firstLine="397"/>
        <w:jc w:val="both"/>
        <w:rPr>
          <w:rFonts w:ascii="Arial" w:hAnsi="Arial"/>
          <w:color w:val="333333"/>
          <w:sz w:val="18"/>
        </w:rPr>
      </w:pPr>
      <w:r>
        <w:rPr>
          <w:rFonts w:ascii="Arial" w:hAnsi="Arial"/>
          <w:color w:val="333333"/>
          <w:sz w:val="18"/>
        </w:rPr>
        <w:t>Column</w:t>
      </w:r>
      <w:r>
        <w:rPr>
          <w:rFonts w:ascii="Arial" w:hAnsi="Arial"/>
          <w:i w:val="1"/>
          <w:color w:val="333333"/>
          <w:sz w:val="18"/>
        </w:rPr>
        <w:t xml:space="preserve"> „</w:t>
      </w:r>
      <w:r>
        <w:rPr>
          <w:rFonts w:ascii="Arial" w:hAnsi="Arial"/>
          <w:color w:val="333333"/>
          <w:sz w:val="18"/>
        </w:rPr>
        <w:t>Computer literate persons“</w:t>
      </w:r>
      <w:r>
        <w:rPr>
          <w:rFonts w:ascii="Arial" w:hAnsi="Arial"/>
          <w:i w:val="1"/>
          <w:color w:val="333333"/>
          <w:sz w:val="18"/>
        </w:rPr>
        <w:t xml:space="preserve"> </w:t>
      </w:r>
      <w:r>
        <w:rPr>
          <w:rFonts w:ascii="Arial" w:hAnsi="Arial"/>
          <w:color w:val="333333"/>
          <w:sz w:val="18"/>
        </w:rPr>
        <w:t xml:space="preserve">shows the number of persons who can perform all four mentioned computer activities.         </w:t>
      </w:r>
    </w:p>
    <w:p>
      <w:pPr>
        <w:spacing w:lineRule="auto" w:line="240" w:before="120" w:after="0"/>
        <w:ind w:firstLine="397"/>
        <w:jc w:val="both"/>
        <w:rPr>
          <w:rFonts w:ascii="Arial" w:hAnsi="Arial"/>
          <w:color w:val="333333"/>
          <w:sz w:val="18"/>
        </w:rPr>
      </w:pPr>
      <w:r>
        <w:rPr>
          <w:rFonts w:ascii="Arial" w:hAnsi="Arial"/>
          <w:color w:val="333333"/>
          <w:sz w:val="18"/>
        </w:rPr>
        <w:t>Column</w:t>
      </w:r>
      <w:r>
        <w:rPr>
          <w:rFonts w:ascii="Arial" w:hAnsi="Arial"/>
          <w:i w:val="1"/>
          <w:color w:val="333333"/>
          <w:sz w:val="18"/>
        </w:rPr>
        <w:t xml:space="preserve"> „</w:t>
      </w:r>
      <w:r>
        <w:rPr>
          <w:rFonts w:ascii="Arial" w:hAnsi="Arial"/>
          <w:color w:val="333333"/>
          <w:sz w:val="18"/>
        </w:rPr>
        <w:t>Persons with partial computer skills</w:t>
      </w:r>
      <w:r>
        <w:rPr>
          <w:rFonts w:ascii="Arial" w:hAnsi="Arial"/>
          <w:i w:val="1"/>
          <w:color w:val="333333"/>
          <w:sz w:val="18"/>
        </w:rPr>
        <w:t xml:space="preserve">“ </w:t>
      </w:r>
      <w:r>
        <w:rPr>
          <w:rFonts w:ascii="Arial" w:hAnsi="Arial"/>
          <w:color w:val="333333"/>
          <w:sz w:val="18"/>
        </w:rPr>
        <w:t>contains the number of persons who can perform one, two or three computer activities, but not the mentioned four.</w:t>
      </w:r>
    </w:p>
    <w:p>
      <w:pPr>
        <w:spacing w:lineRule="auto" w:line="240" w:before="120" w:after="0"/>
        <w:ind w:firstLine="397"/>
        <w:jc w:val="both"/>
        <w:rPr>
          <w:rFonts w:ascii="Arial" w:hAnsi="Arial"/>
          <w:color w:val="333333"/>
          <w:sz w:val="18"/>
        </w:rPr>
      </w:pPr>
      <w:r>
        <w:rPr>
          <w:rFonts w:ascii="Arial" w:hAnsi="Arial"/>
          <w:color w:val="333333"/>
          <w:sz w:val="18"/>
        </w:rPr>
        <w:t>Column</w:t>
      </w:r>
      <w:r>
        <w:rPr>
          <w:rFonts w:ascii="Arial" w:hAnsi="Arial"/>
          <w:i w:val="1"/>
          <w:color w:val="333333"/>
          <w:sz w:val="18"/>
        </w:rPr>
        <w:t xml:space="preserve"> „</w:t>
      </w:r>
      <w:r>
        <w:rPr>
          <w:rFonts w:ascii="Arial" w:hAnsi="Arial"/>
          <w:color w:val="333333"/>
          <w:sz w:val="18"/>
        </w:rPr>
        <w:t>Computer illiterate persons</w:t>
      </w:r>
      <w:r>
        <w:rPr>
          <w:rFonts w:ascii="Arial" w:hAnsi="Arial"/>
          <w:i w:val="1"/>
          <w:color w:val="333333"/>
          <w:sz w:val="18"/>
        </w:rPr>
        <w:t xml:space="preserve">“ </w:t>
      </w:r>
      <w:r>
        <w:rPr>
          <w:rFonts w:ascii="Arial" w:hAnsi="Arial"/>
          <w:color w:val="333333"/>
          <w:sz w:val="18"/>
        </w:rPr>
        <w:t>displays the number of persons who cannot perform any of the activities, i.e. persons who do not use a computer in every day routine.</w:t>
      </w:r>
    </w:p>
    <w:p>
      <w:pPr>
        <w:spacing w:lineRule="auto" w:line="240" w:before="120" w:after="0"/>
        <w:ind w:firstLine="397"/>
        <w:jc w:val="both"/>
        <w:rPr>
          <w:rFonts w:ascii="Arial" w:hAnsi="Arial"/>
          <w:color w:val="333333"/>
          <w:sz w:val="18"/>
        </w:rPr>
      </w:pPr>
      <w:r>
        <w:rPr>
          <w:rFonts w:ascii="Arial" w:hAnsi="Arial"/>
          <w:color w:val="333333"/>
          <w:sz w:val="18"/>
        </w:rPr>
        <w:t xml:space="preserve">When observed by sex, among computer literate persons the percentage of men and women is nearly equal (50.4% of men and 49.6 of women are computer literate), while among computer illiterate persons the percentage of women (54%)  is hihger than that of men (46%).</w:t>
      </w:r>
    </w:p>
    <w:p>
      <w:pPr>
        <w:spacing w:lineRule="auto" w:line="240" w:before="120" w:after="0"/>
        <w:ind w:firstLine="397"/>
        <w:jc w:val="both"/>
        <w:rPr>
          <w:rFonts w:ascii="Arial" w:hAnsi="Arial"/>
          <w:color w:val="333333"/>
          <w:sz w:val="18"/>
        </w:rPr>
      </w:pPr>
      <w:r>
        <w:rPr>
          <w:rFonts w:ascii="Arial" w:hAnsi="Arial"/>
          <w:color w:val="333333"/>
          <w:sz w:val="18"/>
        </w:rPr>
        <w:t xml:space="preserve">The highest percentage of computer literate persons was recorded in Belgrade municipalities of Vračar (61.68%), Stari grad (60.82%), Savski venac (60.46%), Novi Beograd (57.78%) and Zvezdara (54.65%), while the the largest percentage of computer illiterate persons was observed in the municipalities of Gadžin Han (80.31%), Crna Trava (78.22%), Оsečina  (76.88%), Ražanj (75.17%) and Vladimirci (74.75%). </w:t>
      </w:r>
    </w:p>
    <w:p>
      <w:pPr>
        <w:spacing w:lineRule="auto" w:line="228"/>
        <w:jc w:val="center"/>
        <w:rPr>
          <w:rFonts w:ascii="Arial" w:hAnsi="Arial"/>
          <w:b w:val="0"/>
          <w:color w:val="333333"/>
          <w:sz w:val="18"/>
        </w:rPr>
      </w:pPr>
    </w:p>
    <w:p>
      <w:pPr>
        <w:spacing w:lineRule="auto" w:line="228"/>
        <w:jc w:val="center"/>
        <w:rPr>
          <w:rFonts w:ascii="Arial" w:hAnsi="Arial"/>
          <w:b w:val="0"/>
          <w:color w:val="333333"/>
          <w:sz w:val="18"/>
        </w:rPr>
      </w:pPr>
    </w:p>
    <w:p>
      <w:pPr>
        <w:ind w:firstLine="12" w:left="7068"/>
        <w:jc w:val="both"/>
        <w:rPr>
          <w:rFonts w:ascii="Arial" w:hAnsi="Arial"/>
          <w:color w:val="333333"/>
          <w:sz w:val="18"/>
        </w:rPr>
      </w:pPr>
      <w:r>
        <w:rPr>
          <w:rFonts w:ascii="Arial" w:hAnsi="Arial"/>
          <w:color w:val="333333"/>
          <w:sz w:val="18"/>
        </w:rPr>
        <w:t xml:space="preserve">        Director</w:t>
      </w:r>
    </w:p>
    <w:p>
      <w:pPr>
        <w:ind w:left="5040"/>
        <w:jc w:val="right"/>
        <w:rPr>
          <w:rFonts w:ascii="Arial" w:hAnsi="Arial"/>
          <w:color w:val="333333"/>
          <w:sz w:val="18"/>
        </w:rPr>
      </w:pPr>
      <w:r>
        <w:rPr>
          <w:rFonts w:ascii="Arial" w:hAnsi="Arial"/>
          <w:color w:val="333333"/>
          <w:sz w:val="18"/>
        </w:rPr>
        <w:t xml:space="preserve">         Prof. Dragan Vukmirovic, PhD</w:t>
      </w:r>
    </w:p>
    <w:p>
      <w:pPr>
        <w:spacing w:lineRule="auto" w:line="228" w:before="240" w:after="0"/>
        <w:ind w:firstLine="397"/>
        <w:jc w:val="both"/>
        <w:rPr>
          <w:rFonts w:ascii="Arial" w:hAnsi="Arial"/>
          <w:color w:val="333333"/>
          <w:sz w:val="18"/>
        </w:rPr>
      </w:pPr>
    </w:p>
    <w:sectPr>
      <w:headerReference xmlns:r="http://schemas.openxmlformats.org/officeDocument/2006/relationships" w:type="default" r:id="RelHdr1"/>
      <w:footerReference xmlns:r="http://schemas.openxmlformats.org/officeDocument/2006/relationships" w:type="default" r:id="RelFtr1"/>
      <w:type w:val="nextPage"/>
      <w:pgSz w:w="11906" w:h="16838" w:code="0"/>
      <w:pgMar w:left="1418" w:right="1418" w:top="1418" w:bottom="1418" w:header="709" w:footer="709"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r>
      <w:drawing>
        <wp:anchor xmlns:wp="http://schemas.openxmlformats.org/drawingml/2006/wordprocessingDrawing" simplePos="0" allowOverlap="0" behindDoc="0" layoutInCell="1" locked="0" relativeHeight="1" distL="114300" distR="114300">
          <wp:simplePos x="0" y="0"/>
          <wp:positionH relativeFrom="column">
            <wp:posOffset>-819785</wp:posOffset>
          </wp:positionH>
          <wp:positionV relativeFrom="paragraph">
            <wp:posOffset>-512445</wp:posOffset>
          </wp:positionV>
          <wp:extent cx="7343775" cy="960755"/>
          <wp:wrapSquare wrapText="bothSides"/>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7343775" cy="960755"/>
                  </a:xfrm>
                  <a:prstGeom prst="rect"/>
                </pic:spPr>
              </pic:pic>
            </a:graphicData>
          </a:graphic>
        </wp:anchor>
      </w:drawing>
    </w:r>
  </w:p>
  <w:p>
    <w:pPr>
      <w:pStyle w:val="P3"/>
    </w:pPr>
  </w:p>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r>
      <w:drawing>
        <wp:anchor xmlns:wp="http://schemas.openxmlformats.org/drawingml/2006/wordprocessingDrawing" simplePos="0" allowOverlap="0" behindDoc="1" layoutInCell="1" locked="0" relativeHeight="1" distL="114300" distR="114300">
          <wp:simplePos x="0" y="0"/>
          <wp:positionH relativeFrom="column">
            <wp:posOffset>-895350</wp:posOffset>
          </wp:positionH>
          <wp:positionV relativeFrom="page">
            <wp:posOffset>0</wp:posOffset>
          </wp:positionV>
          <wp:extent cx="7553325" cy="1391920"/>
          <wp:wrapSquare wrapText="bothSides"/>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7553325" cy="1391920"/>
                  </a:xfrm>
                  <a:prstGeom prst="rect"/>
                </pic:spPr>
              </pic:pic>
            </a:graphicData>
          </a:graphic>
          <wp14:sizeRelH relativeFrom="margin">
            <wp14:pctWidth>0</wp14:pctWidth>
          </wp14:sizeRelH>
          <wp14:sizeRelV relativeFrom="margin">
            <wp14:pctHeight>0</wp14:pctHeight>
          </wp14:sizeRelV>
        </wp:anchor>
      </w:drawing>
    </w:r>
  </w:p>
  <w:p>
    <w:pPr>
      <w:pStyle w:val="P2"/>
    </w:pPr>
    <w:r>
      <w:tab/>
      <w:tab/>
      <w:tab/>
      <w:tab/>
      <w:tab/>
    </w:r>
  </w:p>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Balloon Text"/>
    <w:basedOn w:val="P0"/>
    <w:next w:val="P1"/>
    <w:link w:val="C3"/>
    <w:pPr>
      <w:spacing w:lineRule="auto" w:line="240" w:after="0"/>
    </w:pPr>
    <w:rPr>
      <w:rFonts w:ascii="Tahoma" w:hAnsi="Tahoma"/>
      <w:sz w:val="16"/>
    </w:rPr>
  </w:style>
  <w:style w:type="paragraph" w:styleId="P2">
    <w:name w:val="Header"/>
    <w:basedOn w:val="P0"/>
    <w:next w:val="P2"/>
    <w:link w:val="C4"/>
    <w:pPr>
      <w:tabs>
        <w:tab w:val="center" w:pos="4536" w:leader="none"/>
        <w:tab w:val="right" w:pos="9072" w:leader="none"/>
      </w:tabs>
      <w:spacing w:lineRule="auto" w:line="240" w:after="0"/>
    </w:pPr>
    <w:rPr/>
  </w:style>
  <w:style w:type="paragraph" w:styleId="P3">
    <w:name w:val="Footer"/>
    <w:basedOn w:val="P0"/>
    <w:next w:val="P3"/>
    <w:link w:val="C5"/>
    <w:pPr>
      <w:tabs>
        <w:tab w:val="center" w:pos="4536" w:leader="none"/>
        <w:tab w:val="right" w:pos="9072" w:leader="none"/>
      </w:tabs>
      <w:spacing w:lineRule="auto" w:line="240" w:after="0"/>
    </w:pPr>
    <w:rPr/>
  </w:style>
  <w:style w:type="paragraph" w:styleId="P4">
    <w:name w:val="Footnote Text"/>
    <w:basedOn w:val="P0"/>
    <w:next w:val="P4"/>
    <w:pPr>
      <w:spacing w:lineRule="auto" w:line="240" w:after="0"/>
    </w:pPr>
    <w:rPr>
      <w:rFonts w:ascii="Times New Roman" w:hAnsi="Times New Roman"/>
      <w:sz w:val="20"/>
    </w:rPr>
  </w:style>
  <w:style w:type="paragraph" w:styleId="P5">
    <w:name w:val="Document Map"/>
    <w:basedOn w:val="P0"/>
    <w:next w:val="P5"/>
    <w:pPr>
      <w:shd w:val="clear" w:fill="000080"/>
    </w:pPr>
    <w:rPr>
      <w:rFonts w:ascii="Tahoma" w:hAnsi="Tahoma"/>
      <w:sz w:val="20"/>
    </w:rPr>
  </w:style>
  <w:style w:type="paragraph" w:styleId="P6">
    <w:name w:val=" Char Char Char Char Char1 Char"/>
    <w:basedOn w:val="P0"/>
    <w:next w:val="P6"/>
    <w:link w:val="C0"/>
    <w:pPr>
      <w:tabs>
        <w:tab w:val="left" w:pos="567" w:leader="none"/>
      </w:tabs>
      <w:spacing w:lineRule="exact" w:line="240" w:before="120" w:after="160"/>
      <w:ind w:hanging="504" w:left="1584"/>
    </w:pPr>
    <w:rPr>
      <w:rFonts w:ascii="Arial" w:hAnsi="Arial"/>
      <w:b w:val="1"/>
      <w:color w:val="000000"/>
      <w:sz w:val="24"/>
    </w:rPr>
  </w:style>
  <w:style w:type="character" w:styleId="C0" w:default="1">
    <w:name w:val="Default Paragraph Font"/>
    <w:link w:val="P6"/>
    <w:semiHidden/>
    <w:rPr>
      <w:rFonts w:ascii="Arial" w:hAnsi="Arial"/>
      <w:b w:val="1"/>
      <w:color w:val="000000"/>
      <w:sz w:val="24"/>
    </w:rPr>
  </w:style>
  <w:style w:type="character" w:styleId="C1">
    <w:name w:val="Line Number"/>
    <w:basedOn w:val="C0"/>
    <w:semiHidden/>
    <w:rPr/>
  </w:style>
  <w:style w:type="character" w:styleId="C2">
    <w:name w:val="Hyperlink"/>
    <w:rPr>
      <w:color w:val="0000FF"/>
      <w:u w:val="single"/>
    </w:rPr>
  </w:style>
  <w:style w:type="character" w:styleId="C3">
    <w:name w:val=" Char Char2"/>
    <w:link w:val="P1"/>
    <w:rPr>
      <w:rFonts w:ascii="Tahoma" w:hAnsi="Tahoma"/>
      <w:sz w:val="16"/>
    </w:rPr>
  </w:style>
  <w:style w:type="character" w:styleId="C4">
    <w:name w:val=" Char Char1"/>
    <w:basedOn w:val="C0"/>
    <w:link w:val="P2"/>
    <w:rPr/>
  </w:style>
  <w:style w:type="character" w:styleId="C5">
    <w:name w:val=" Char Char"/>
    <w:basedOn w:val="C0"/>
    <w:link w:val="P3"/>
    <w:rPr/>
  </w:style>
  <w:style w:type="character" w:styleId="C6">
    <w:name w:val="Footnote Reference"/>
    <w:basedOn w:val="C0"/>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pPr>
      <w:spacing w:lineRule="auto" w:line="276" w:after="200"/>
    </w:p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footer1.xml.rels>&#65279;<?xml version="1.0" encoding="utf-8"?><Relationships xmlns="http://schemas.openxmlformats.org/package/2006/relationships"><Relationship Id="Relimage2" Type="http://schemas.openxmlformats.org/officeDocument/2006/relationships/image" Target="/media/image2.jpg" /></Relationships>
</file>

<file path=word/_rels/header1.xml.rels>&#65279;<?xml version="1.0" encoding="utf-8"?><Relationships xmlns="http://schemas.openxmlformats.org/package/2006/relationships"><Relationship Id="Relimage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User1</dc:creator>
  <dcterms:created xsi:type="dcterms:W3CDTF">2013-01-31T09:35:00Z</dcterms:created>
  <cp:lastModifiedBy>Nikola Kapetanovic</cp:lastModifiedBy>
  <cp:lastPrinted>2013-01-29T14:45:00Z</cp:lastPrinted>
  <dcterms:modified xsi:type="dcterms:W3CDTF">2020-01-10T11:42:42Z</dcterms:modified>
  <cp:revision>3</cp:revision>
  <dc:title>Саопштење за јавност </dc:title>
</cp:coreProperties>
</file>