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AAE5A41" Type="http://schemas.openxmlformats.org/officeDocument/2006/relationships/officeDocument" Target="/word/document.xml" /><Relationship Id="coreR1AAE5A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SV22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337 • Year LXIII, 06/12/2013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Statistics of Transport and Communications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337</w:t>
            </w:r>
            <w:r>
              <w:rPr>
                <w:b w:val="0"/>
                <w:sz w:val="20"/>
              </w:rPr>
              <w:t xml:space="preserve"> </w:t>
            </w:r>
            <w:r>
              <w:rPr>
                <w:b w:val="0"/>
                <w:sz w:val="20"/>
              </w:rPr>
              <w:t xml:space="preserve">SV22 </w:t>
            </w:r>
            <w:r>
              <w:rPr>
                <w:b w:val="0"/>
                <w:sz w:val="20"/>
              </w:rPr>
              <w:t>0612</w:t>
            </w:r>
            <w:r>
              <w:rPr>
                <w:b w:val="0"/>
                <w:sz w:val="20"/>
              </w:rPr>
              <w:t>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rPr>
            </w:pPr>
          </w:p>
        </w:tc>
      </w:tr>
    </w:tbl>
    <w:p/>
    <w:p>
      <w:pPr>
        <w:pStyle w:val="P8"/>
        <w:rPr>
          <w:sz w:val="24"/>
        </w:rPr>
      </w:pPr>
      <w:r>
        <w:rPr>
          <w:sz w:val="24"/>
        </w:rPr>
        <w:t xml:space="preserve">First time registered road motor vehicles and trailers and </w:t>
      </w:r>
    </w:p>
    <w:p>
      <w:pPr>
        <w:pStyle w:val="P6"/>
        <w:rPr>
          <w:sz w:val="24"/>
        </w:rPr>
      </w:pPr>
      <w:r>
        <w:rPr>
          <w:sz w:val="24"/>
        </w:rPr>
        <w:t>injury road accidents in the Republic of Serbia</w:t>
      </w:r>
    </w:p>
    <w:p>
      <w:pPr>
        <w:pStyle w:val="P6"/>
        <w:spacing w:before="240" w:after="240"/>
        <w:rPr>
          <w:sz w:val="22"/>
        </w:rPr>
      </w:pPr>
      <w:r>
        <w:rPr>
          <w:sz w:val="22"/>
        </w:rPr>
        <w:t xml:space="preserve">- III quarter 2013 -  </w:t>
      </w:r>
    </w:p>
    <w:p>
      <w:pPr>
        <w:pStyle w:val="P13"/>
        <w:spacing w:before="120"/>
        <w:ind w:firstLine="397" w:left="0"/>
        <w:rPr>
          <w:sz w:val="20"/>
        </w:rPr>
      </w:pPr>
      <w:r>
        <w:rPr>
          <w:color w:val="000000"/>
          <w:sz w:val="20"/>
        </w:rPr>
        <w:t>During the 3</w:t>
      </w:r>
      <w:r>
        <w:rPr>
          <w:color w:val="000000"/>
          <w:sz w:val="20"/>
          <w:vertAlign w:val="superscript"/>
        </w:rPr>
        <w:t>rd</w:t>
      </w:r>
      <w:r>
        <w:rPr>
          <w:color w:val="000000"/>
          <w:sz w:val="20"/>
        </w:rPr>
        <w:t xml:space="preserve"> quarter of 2013, in the Republic of Serbia, it can be noted that number of first time registered road motor vehicles increased, excluding mopeds, motorcycles, road tractors and trailers and semi-trailers.  Observing the database, it can be concluded that 63.5% of trailers was of the capacity below 1000 kg and it corresponds, by capacity, to trailers intended for passengers’ vehicles. The greatest number of road motor vehicles was produced by the following manufacturers: Zastava (domestic</w:t>
      </w:r>
      <w:r>
        <w:rPr>
          <w:sz w:val="20"/>
        </w:rPr>
        <w:t xml:space="preserve"> trademark) and Fiat, Renault, Opel, and VW (foreign trademarks).</w:t>
      </w:r>
      <w:r>
        <w:rPr>
          <w:sz w:val="18"/>
        </w:rPr>
        <w:t xml:space="preserve"> </w:t>
      </w:r>
    </w:p>
    <w:p>
      <w:pPr>
        <w:pStyle w:val="P13"/>
        <w:ind w:firstLine="397" w:left="0"/>
        <w:rPr>
          <w:sz w:val="20"/>
        </w:rPr>
      </w:pPr>
      <w:r>
        <w:rPr>
          <w:sz w:val="20"/>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pPr>
        <w:pStyle w:val="P13"/>
        <w:spacing w:before="120"/>
        <w:ind w:firstLine="397" w:left="0"/>
        <w:rPr>
          <w:color w:val="FF0000"/>
          <w:sz w:val="20"/>
        </w:rPr>
      </w:pPr>
      <w:r>
        <w:rPr>
          <w:sz w:val="20"/>
        </w:rPr>
        <w:t>Regarding the recently manufactured passengers’ vehicles, number of vehicles with petrol and diesel motor energy was almost equal, and the most dominant were the vehicles of the engine size of up to 2000 cm</w:t>
      </w:r>
      <w:r>
        <w:rPr>
          <w:sz w:val="20"/>
          <w:vertAlign w:val="superscript"/>
        </w:rPr>
        <w:t>3</w:t>
      </w:r>
      <w:r>
        <w:rPr>
          <w:sz w:val="20"/>
        </w:rPr>
        <w:t xml:space="preserve">.  </w:t>
      </w:r>
    </w:p>
    <w:p>
      <w:pPr>
        <w:pStyle w:val="P13"/>
        <w:spacing w:before="120" w:after="120"/>
        <w:ind w:firstLine="397" w:left="0"/>
        <w:rPr>
          <w:sz w:val="20"/>
        </w:rPr>
      </w:pPr>
      <w:r>
        <w:rPr>
          <w:sz w:val="20"/>
        </w:rPr>
        <w:t xml:space="preserve">Total number of injury road accidents in the third quarter of 2013 decreased by 6.7%, when compared to the same period 2012. Increase of injury road accidents with injured persons outside built-up areas amounted to 2.2%. </w:t>
      </w:r>
    </w:p>
    <w:p>
      <w:pPr>
        <w:pStyle w:val="P13"/>
        <w:spacing w:before="120" w:after="120"/>
        <w:ind w:firstLine="397" w:left="0"/>
        <w:rPr>
          <w:sz w:val="20"/>
        </w:rPr>
      </w:pPr>
      <w:r>
        <w:rPr>
          <w:sz w:val="20"/>
        </w:rPr>
        <w:t xml:space="preserve">Number of casualties in the third quarter of 2013 was decreased by 7.9%, respective to the same period 2012, while number of killed persons within built-up areas decreased by 16.9%. </w:t>
      </w:r>
    </w:p>
    <w:p>
      <w:pPr>
        <w:pStyle w:val="P13"/>
        <w:spacing w:before="120" w:after="120"/>
        <w:ind w:firstLine="720" w:left="0"/>
        <w:rPr>
          <w:sz w:val="1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457200</wp:posOffset>
                </wp:positionH>
                <wp:positionV relativeFrom="paragraph">
                  <wp:posOffset>165735</wp:posOffset>
                </wp:positionV>
                <wp:extent cx="5391150" cy="412750"/>
                <wp:wrapNone/>
                <wp:docPr id="2" name="Text Box 2"/>
                <a:graphic xmlns:a="http://schemas.openxmlformats.org/drawingml/2006/main">
                  <a:graphicData uri="http://schemas.microsoft.com/office/word/2010/wordprocessingShape">
                    <wps:wsp>
                      <wps:cNvSpPr/>
                      <wps:spPr>
                        <a:xfrm>
                          <a:off x="0" y="0"/>
                          <a:ext cx="5391150" cy="412750"/>
                        </a:xfrm>
                        <a:prstGeom prst="rect"/>
                      </wps:spPr>
                      <wps:txbx>
                        <w:txbxContent>
                          <w:p>
                            <w:pPr>
                              <w:jc w:val="center"/>
                              <w:rPr>
                                <w:rFonts w:ascii="Arial" w:hAnsi="Arial"/>
                                <w:b w:val="1"/>
                                <w:sz w:val="20"/>
                              </w:rPr>
                            </w:pPr>
                            <w:r>
                              <w:rPr>
                                <w:rFonts w:ascii="Arial" w:hAnsi="Arial"/>
                                <w:b w:val="1"/>
                                <w:sz w:val="20"/>
                              </w:rPr>
                              <w:t>Age structure</w:t>
                            </w:r>
                            <w:r>
                              <w:rPr>
                                <w:rFonts w:ascii="Arial" w:hAnsi="Arial"/>
                                <w:b w:val="1"/>
                                <w:sz w:val="20"/>
                              </w:rPr>
                              <w:t xml:space="preserve"> of f</w:t>
                            </w:r>
                            <w:r>
                              <w:rPr>
                                <w:rFonts w:ascii="Arial" w:hAnsi="Arial"/>
                                <w:b w:val="1"/>
                                <w:sz w:val="20"/>
                              </w:rPr>
                              <w:t xml:space="preserve">irst time registered road motor vehicles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wps:txbx>
                      <wps:bodyPr/>
                    </wps:wsp>
                  </a:graphicData>
                </a:graphic>
              </wp:anchor>
            </w:drawing>
          </mc:Choice>
          <mc:Fallback>
            <w:pict>
              <v:shapetype id="3" path="m,l,21600r21600,l21600,xe"/>
              <v:shape xmlns:o="urn:schemas-microsoft-com:office:office" type="#3" id="Text Box 2" style="position:absolute;width:424.5pt;height:32.5pt;z-index:1;mso-wrap-distance-left:9pt;mso-wrap-distance-top:0pt;mso-wrap-distance-right:9pt;mso-wrap-distance-bottom:0pt;margin-left:36pt;margin-top:13.05pt;mso-position-horizontal:absolute;mso-position-horizontal-relative:text;mso-position-vertical:absolute;mso-position-vertical-relative:text" stroked="f" o:allowincell="t">
                <v:textbox>
                  <w:txbxContent>
                    <w:p>
                      <w:pPr>
                        <w:jc w:val="center"/>
                        <w:rPr>
                          <w:rFonts w:ascii="Arial" w:hAnsi="Arial"/>
                          <w:b w:val="1"/>
                          <w:sz w:val="20"/>
                        </w:rPr>
                      </w:pPr>
                      <w:r>
                        <w:rPr>
                          <w:rFonts w:ascii="Arial" w:hAnsi="Arial"/>
                          <w:b w:val="1"/>
                          <w:sz w:val="20"/>
                        </w:rPr>
                        <w:t>Age structure</w:t>
                      </w:r>
                      <w:r>
                        <w:rPr>
                          <w:rFonts w:ascii="Arial" w:hAnsi="Arial"/>
                          <w:b w:val="1"/>
                          <w:sz w:val="20"/>
                        </w:rPr>
                        <w:t xml:space="preserve"> of f</w:t>
                      </w:r>
                      <w:r>
                        <w:rPr>
                          <w:rFonts w:ascii="Arial" w:hAnsi="Arial"/>
                          <w:b w:val="1"/>
                          <w:sz w:val="20"/>
                        </w:rPr>
                        <w:t xml:space="preserve">irst time registered road motor vehicles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v:textbox>
              </v:shape>
            </w:pict>
          </mc:Fallback>
        </mc:AlternateContent>
      </w:r>
    </w:p>
    <w:p>
      <w:pPr>
        <w:pStyle w:val="P13"/>
        <w:spacing w:before="120" w:after="120"/>
        <w:ind w:firstLine="720" w:left="0"/>
        <w:rPr>
          <w:sz w:val="18"/>
        </w:rPr>
      </w:pPr>
    </w:p>
    <w:p>
      <w:pPr>
        <w:pStyle w:val="P13"/>
        <w:spacing w:before="120" w:after="120"/>
        <w:ind w:firstLine="720" w:left="0"/>
        <w:rPr>
          <w:sz w:val="18"/>
        </w:rPr>
      </w:pPr>
    </w:p>
    <w:p>
      <w:pPr>
        <w:pStyle w:val="P13"/>
        <w:spacing w:before="120" w:after="120"/>
        <w:ind w:firstLine="0" w:left="0"/>
        <w:jc w:val="center"/>
        <w:rPr>
          <w:sz w:val="18"/>
        </w:rPr>
      </w:pPr>
      <w:r>
        <w:drawing>
          <wp:inline xmlns:wp="http://schemas.openxmlformats.org/drawingml/2006/wordprocessingDrawing">
            <wp:extent cx="6272530" cy="370395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272530" cy="3703955"/>
                    </a:xfrm>
                    <a:prstGeom prst="rect"/>
                    <a:noFill/>
                  </pic:spPr>
                </pic:pic>
              </a:graphicData>
            </a:graphic>
          </wp:inline>
        </w:drawing>
      </w:r>
    </w:p>
    <w:p>
      <w:pPr>
        <w:spacing w:after="60"/>
        <w:rPr>
          <w:rFonts w:ascii="Arial" w:hAnsi="Arial"/>
          <w:b w:val="1"/>
          <w:sz w:val="20"/>
        </w:rPr>
      </w:pPr>
      <w:r>
        <w:rPr>
          <w:rFonts w:ascii="Arial" w:hAnsi="Arial"/>
          <w:b w:val="1"/>
          <w:sz w:val="20"/>
        </w:rPr>
        <w:t xml:space="preserve">1.  Number of first time registered road vehicles and trailers</w:t>
      </w:r>
    </w:p>
    <w:tbl>
      <w:tblPr>
        <w:tblStyle w:val="T3"/>
        <w:tblW w:w="0" w:type="auto"/>
        <w:jc w:val="center"/>
        <w:tblLayout w:type="autofit"/>
        <w:tblCellMar>
          <w:left w:w="28" w:type="dxa"/>
          <w:right w:w="28" w:type="dxa"/>
        </w:tblCellMar>
      </w:tblPr>
      <w:tblGrid/>
      <w:tr>
        <w:trPr>
          <w:wAfter w:w="0" w:type="dxa"/>
        </w:trPr>
        <w:tc>
          <w:tcPr>
            <w:tcW w:w="1174" w:type="dxa"/>
            <w:vMerge w:val="restart"/>
            <w:tcBorders>
              <w:left w:val="none" w:sz="0" w:space="0" w:shadow="0" w:frame="0"/>
            </w:tcBorders>
          </w:tcPr>
          <w:p>
            <w:pPr>
              <w:spacing w:lineRule="auto" w:line="252" w:before="120" w:after="120"/>
              <w:jc w:val="center"/>
              <w:rPr>
                <w:rFonts w:ascii="Arial" w:hAnsi="Arial"/>
                <w:sz w:val="15"/>
              </w:rPr>
            </w:pPr>
          </w:p>
        </w:tc>
        <w:tc>
          <w:tcPr>
            <w:tcW w:w="4022" w:type="dxa"/>
            <w:gridSpan w:val="6"/>
          </w:tcPr>
          <w:p>
            <w:pPr>
              <w:spacing w:lineRule="auto" w:line="252" w:before="60" w:after="60"/>
              <w:jc w:val="center"/>
              <w:rPr>
                <w:rFonts w:ascii="Arial" w:hAnsi="Arial"/>
                <w:sz w:val="16"/>
                <w:vertAlign w:val="superscript"/>
              </w:rPr>
            </w:pPr>
            <w:r>
              <w:rPr>
                <w:rFonts w:ascii="Arial" w:hAnsi="Arial"/>
                <w:sz w:val="16"/>
              </w:rPr>
              <w:t>III quarter 2012</w:t>
              <w:br w:type="textWrapping"/>
              <w:t>Republic of Serbia</w:t>
            </w:r>
          </w:p>
        </w:tc>
        <w:tc>
          <w:tcPr>
            <w:tcW w:w="4006" w:type="dxa"/>
            <w:gridSpan w:val="6"/>
          </w:tcPr>
          <w:p>
            <w:pPr>
              <w:spacing w:lineRule="auto" w:line="252" w:before="60" w:after="60"/>
              <w:jc w:val="center"/>
              <w:rPr>
                <w:rFonts w:ascii="CTimesRoman" w:hAnsi="CTimesRoman"/>
                <w:sz w:val="20"/>
              </w:rPr>
            </w:pPr>
            <w:r>
              <w:rPr>
                <w:rFonts w:ascii="Arial" w:hAnsi="Arial"/>
                <w:sz w:val="16"/>
              </w:rPr>
              <w:t>III quarter 2013</w:t>
              <w:br w:type="textWrapping"/>
              <w:t>Republic of Serbia</w:t>
            </w:r>
          </w:p>
        </w:tc>
        <w:tc>
          <w:tcPr>
            <w:tcW w:w="721" w:type="dxa"/>
            <w:vMerge w:val="restart"/>
            <w:tcBorders>
              <w:right w:val="none" w:sz="0" w:space="0" w:shadow="0" w:frame="0"/>
            </w:tcBorders>
            <w:vAlign w:val="center"/>
          </w:tcPr>
          <w:p>
            <w:pPr>
              <w:spacing w:lineRule="auto" w:line="252" w:before="60" w:after="60"/>
              <w:jc w:val="center"/>
              <w:rPr>
                <w:rFonts w:ascii="CTimesRoman" w:hAnsi="CTimesRoman"/>
                <w:sz w:val="15"/>
              </w:rPr>
            </w:pPr>
            <w:r>
              <w:rPr>
                <w:rFonts w:ascii="Arial" w:hAnsi="Arial"/>
                <w:sz w:val="15"/>
              </w:rPr>
              <w:t>III quarter</w:t>
            </w:r>
            <w:r>
              <w:rPr>
                <w:rFonts w:ascii="Arial" w:hAnsi="Arial"/>
                <w:sz w:val="15"/>
                <w:u w:val="single"/>
              </w:rPr>
              <w:t xml:space="preserve"> 2013</w:t>
              <w:br w:type="textWrapping"/>
            </w:r>
            <w:r>
              <w:rPr>
                <w:rFonts w:ascii="Arial" w:hAnsi="Arial"/>
                <w:sz w:val="15"/>
              </w:rPr>
              <w:t>III quarter 2012</w:t>
            </w:r>
          </w:p>
        </w:tc>
      </w:tr>
      <w:tr>
        <w:trPr>
          <w:wAfter w:w="0" w:type="dxa"/>
        </w:trPr>
        <w:tc>
          <w:tcPr>
            <w:tcW w:w="1174" w:type="dxa"/>
            <w:vMerge w:val="continue"/>
            <w:tcBorders>
              <w:left w:val="none" w:sz="0" w:space="0" w:shadow="0" w:frame="0"/>
              <w:bottom w:val="single" w:sz="4" w:space="0" w:shadow="0" w:frame="0"/>
            </w:tcBorders>
          </w:tcPr>
          <w:p>
            <w:pPr>
              <w:spacing w:lineRule="auto" w:line="252"/>
              <w:jc w:val="center"/>
              <w:rPr>
                <w:rFonts w:ascii="Arial" w:hAnsi="Arial"/>
                <w:sz w:val="15"/>
              </w:rPr>
            </w:pPr>
          </w:p>
        </w:tc>
        <w:tc>
          <w:tcPr>
            <w:tcW w:w="614" w:type="dxa"/>
            <w:tcBorders>
              <w:bottom w:val="single" w:sz="4" w:space="0" w:shadow="0" w:frame="0"/>
            </w:tcBorders>
            <w:vAlign w:val="center"/>
          </w:tcPr>
          <w:p>
            <w:pPr>
              <w:spacing w:lineRule="auto" w:line="252"/>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spacing w:lineRule="auto" w:line="252"/>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Kosovo and Metohia</w:t>
            </w:r>
          </w:p>
        </w:tc>
        <w:tc>
          <w:tcPr>
            <w:tcW w:w="598" w:type="dxa"/>
            <w:tcBorders>
              <w:bottom w:val="single" w:sz="4" w:space="0" w:shadow="0" w:frame="0"/>
            </w:tcBorders>
            <w:vAlign w:val="center"/>
          </w:tcPr>
          <w:p>
            <w:pPr>
              <w:spacing w:lineRule="auto" w:line="252"/>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spacing w:lineRule="auto" w:line="252"/>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Kosovo and Metohia</w:t>
            </w:r>
          </w:p>
        </w:tc>
        <w:tc>
          <w:tcPr>
            <w:tcW w:w="721" w:type="dxa"/>
            <w:vMerge w:val="continue"/>
            <w:tcBorders>
              <w:bottom w:val="single" w:sz="4" w:space="0" w:shadow="0" w:frame="0"/>
              <w:right w:val="none" w:sz="0" w:space="0" w:shadow="0" w:frame="0"/>
            </w:tcBorders>
            <w:vAlign w:val="center"/>
          </w:tcPr>
          <w:p>
            <w:pPr>
              <w:spacing w:lineRule="auto" w:line="252"/>
              <w:jc w:val="center"/>
              <w:rPr>
                <w:rFonts w:ascii="Arial" w:hAnsi="Arial"/>
                <w:sz w:val="15"/>
              </w:rPr>
            </w:pPr>
          </w:p>
        </w:tc>
      </w:tr>
      <w:tr>
        <w:trPr>
          <w:wAfter w:w="0" w:type="dxa"/>
        </w:trPr>
        <w:tc>
          <w:tcPr>
            <w:tcW w:w="1174"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p>
        </w:tc>
        <w:tc>
          <w:tcPr>
            <w:tcW w:w="614"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p>
        </w:tc>
        <w:tc>
          <w:tcPr>
            <w:tcW w:w="598"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p>
        </w:tc>
        <w:tc>
          <w:tcPr>
            <w:tcW w:w="7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Mopeds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2037</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283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604</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518</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630</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1916</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349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519</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484</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558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94.1</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Motorcycles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1582</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263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478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445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1417</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246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358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89.6</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Passengers cars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32794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8961</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9010</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8329</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6284</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210</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36359</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9960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9731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6544</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146</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110.9</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Buses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64</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46</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118.3</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Lorries (trucks)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1633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587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390</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381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2395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866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560</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632</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333</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146.8</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Road tractors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724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200</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231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575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168</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149</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66</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79.4</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Trailers and semi-trailers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3110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299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1269</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949</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582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11</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2606</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350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783</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466</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83.7</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Special purpose motor vehicles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358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213</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313</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82</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143.3</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Motocultivators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22</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16"/>
              </w:rPr>
            </w:pP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122.2</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Agricultural tractors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1327</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745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288</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1525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125</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808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320</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269</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114.9</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Agricultural trailers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441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323</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50</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675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482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73</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153.1</w:t>
            </w:r>
          </w:p>
        </w:tc>
      </w:tr>
    </w:tbl>
    <w:p>
      <w:pPr>
        <w:spacing w:lineRule="auto" w:line="252"/>
        <w:rPr>
          <w:rFonts w:ascii="Arial" w:hAnsi="Arial"/>
        </w:rPr>
      </w:pPr>
    </w:p>
    <w:p>
      <w:pPr>
        <w:rPr>
          <w:rFonts w:ascii="Arial" w:hAnsi="Arial"/>
          <w:b w:val="1"/>
          <w:sz w:val="14"/>
          <w:u w:val="single"/>
        </w:rPr>
      </w:pPr>
      <w:r>
        <w:rPr>
          <w:rFonts w:ascii="Arial" w:hAnsi="Arial"/>
          <w:sz w:val="14"/>
        </w:rPr>
        <w:t>Source: Ministry of the Interior of the Republic of Serbia.</w:t>
      </w:r>
    </w:p>
    <w:p>
      <w:pPr>
        <w:spacing w:lineRule="auto" w:line="252"/>
        <w:rPr>
          <w:rFonts w:ascii="Arial" w:hAnsi="Arial"/>
          <w:sz w:val="44"/>
        </w:rPr>
      </w:pPr>
    </w:p>
    <w:p>
      <w:pPr>
        <w:spacing w:lineRule="auto" w:line="252" w:after="60"/>
        <w:rPr>
          <w:rFonts w:ascii="Arial" w:hAnsi="Arial"/>
          <w:b w:val="1"/>
          <w:sz w:val="20"/>
        </w:rPr>
      </w:pPr>
      <w:r>
        <w:rPr>
          <w:rFonts w:ascii="Arial" w:hAnsi="Arial"/>
          <w:b w:val="1"/>
          <w:sz w:val="20"/>
        </w:rPr>
        <w:t xml:space="preserve">2. Number of first time registered lorries by load capacity </w:t>
      </w:r>
    </w:p>
    <w:tbl>
      <w:tblPr>
        <w:tblStyle w:val="T3"/>
        <w:tblW w:w="9809" w:type="dxa"/>
        <w:tblInd w:w="57" w:type="dxa"/>
        <w:tblLayout w:type="fixed"/>
        <w:tblCellMar>
          <w:left w:w="28" w:type="dxa"/>
          <w:right w:w="28" w:type="dxa"/>
        </w:tblCellMar>
      </w:tblPr>
      <w:tblGrid/>
      <w:tr>
        <w:trPr>
          <w:wAfter w:w="0" w:type="dxa"/>
        </w:trPr>
        <w:tc>
          <w:tcPr>
            <w:tcW w:w="2325" w:type="dxa"/>
            <w:vMerge w:val="restart"/>
            <w:tcBorders>
              <w:left w:val="none" w:sz="0" w:space="0" w:shadow="0" w:frame="0"/>
              <w:bottom w:val="single" w:sz="4" w:space="0" w:shadow="0" w:frame="0"/>
            </w:tcBorders>
            <w:vAlign w:val="center"/>
          </w:tcPr>
          <w:p>
            <w:pPr>
              <w:spacing w:lineRule="auto" w:line="252" w:before="60"/>
              <w:jc w:val="center"/>
              <w:rPr>
                <w:rFonts w:ascii="Arial" w:hAnsi="Arial"/>
                <w:sz w:val="16"/>
              </w:rPr>
            </w:pPr>
            <w:r>
              <w:rPr>
                <w:rFonts w:ascii="Arial" w:hAnsi="Arial"/>
                <w:sz w:val="16"/>
              </w:rPr>
              <w:t xml:space="preserve">Load capacity  (kg)</w:t>
            </w:r>
          </w:p>
        </w:tc>
        <w:tc>
          <w:tcPr>
            <w:tcW w:w="3742" w:type="dxa"/>
            <w:gridSpan w:val="2"/>
            <w:vAlign w:val="center"/>
          </w:tcPr>
          <w:p>
            <w:pPr>
              <w:spacing w:before="120" w:after="120"/>
              <w:jc w:val="center"/>
              <w:rPr>
                <w:rFonts w:ascii="Arial" w:hAnsi="Arial"/>
                <w:sz w:val="16"/>
              </w:rPr>
            </w:pPr>
            <w:r>
              <w:rPr>
                <w:rFonts w:ascii="Arial" w:hAnsi="Arial"/>
                <w:sz w:val="16"/>
              </w:rPr>
              <w:t>III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III quarter 2013</w:t>
            </w:r>
          </w:p>
        </w:tc>
      </w:tr>
      <w:tr>
        <w:trPr>
          <w:wAfter w:w="0" w:type="dxa"/>
        </w:trPr>
        <w:tc>
          <w:tcPr>
            <w:tcW w:w="2325" w:type="dxa"/>
            <w:vMerge w:val="continue"/>
            <w:tcBorders>
              <w:left w:val="none" w:sz="0" w:space="0" w:shadow="0" w:frame="0"/>
              <w:bottom w:val="single" w:sz="4" w:space="0" w:shadow="0" w:frame="0"/>
            </w:tcBorders>
            <w:vAlign w:val="center"/>
          </w:tcPr>
          <w:p>
            <w:pPr>
              <w:spacing w:lineRule="auto" w:line="252" w:before="60"/>
              <w:rPr>
                <w:rFonts w:ascii="Arial" w:hAnsi="Arial"/>
                <w:sz w:val="16"/>
              </w:rPr>
            </w:pP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spacing w:before="60"/>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spacing w:before="60"/>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sz w:val="16"/>
              </w:rPr>
            </w:pP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Fonts w:ascii="Arial" w:hAnsi="Arial"/>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sz w:val="16"/>
              </w:rPr>
            </w:pPr>
          </w:p>
        </w:tc>
        <w:tc>
          <w:tcPr>
            <w:tcW w:w="1871"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Fonts w:ascii="Arial" w:hAnsi="Arial"/>
                <w:sz w:val="16"/>
              </w:rPr>
            </w:pP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1633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b w:val="1"/>
                <w:sz w:val="16"/>
              </w:rPr>
            </w:pPr>
            <w:r>
              <w:rPr>
                <w:rFonts w:ascii="Arial" w:hAnsi="Arial"/>
                <w:b w:val="1"/>
                <w:sz w:val="16"/>
              </w:rPr>
              <w:t>474</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2395</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576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8</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1000 - 1499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156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88</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325</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96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1500 - 2999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670</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210</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986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284</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3000 - 4999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483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121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780</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156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5000 - 6999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58</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52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7000 - 9999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116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10000 - 14999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15000 and over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88</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8</w:t>
            </w:r>
          </w:p>
        </w:tc>
      </w:tr>
    </w:tbl>
    <w:p>
      <w:pPr>
        <w:spacing w:lineRule="auto" w:line="252"/>
        <w:rPr>
          <w:rFonts w:ascii="Arial" w:hAnsi="Arial"/>
        </w:rPr>
      </w:pPr>
    </w:p>
    <w:p>
      <w:pPr>
        <w:spacing w:lineRule="auto" w:line="252"/>
        <w:rPr>
          <w:rFonts w:ascii="Arial" w:hAnsi="Arial"/>
          <w:b w:val="1"/>
          <w:sz w:val="14"/>
          <w:u w:val="single"/>
        </w:rPr>
      </w:pPr>
      <w:r>
        <w:rPr>
          <w:rFonts w:ascii="Arial" w:hAnsi="Arial"/>
          <w:sz w:val="14"/>
        </w:rPr>
        <w:t>Source: Ministry of the Interior of the Republic of Serbia.</w:t>
      </w:r>
    </w:p>
    <w:p>
      <w:pPr>
        <w:spacing w:lineRule="auto" w:line="252" w:after="60"/>
        <w:ind w:left="357"/>
        <w:rPr>
          <w:rFonts w:ascii="Arial" w:hAnsi="Arial"/>
          <w:b w:val="1"/>
          <w:sz w:val="44"/>
        </w:rPr>
      </w:pPr>
    </w:p>
    <w:p>
      <w:pPr>
        <w:spacing w:lineRule="auto" w:line="252" w:after="60"/>
        <w:rPr>
          <w:rFonts w:ascii="Arial" w:hAnsi="Arial"/>
          <w:b w:val="1"/>
          <w:sz w:val="20"/>
        </w:rPr>
      </w:pPr>
      <w:r>
        <w:rPr>
          <w:rFonts w:ascii="Arial" w:hAnsi="Arial"/>
          <w:b w:val="1"/>
          <w:sz w:val="20"/>
        </w:rPr>
        <w:t xml:space="preserve">3. Number of first time registered lorries by type of motor energy </w:t>
      </w:r>
    </w:p>
    <w:p>
      <w:pPr>
        <w:spacing w:lineRule="auto" w:line="252"/>
        <w:rPr>
          <w:rFonts w:ascii="Arial" w:hAnsi="Arial"/>
        </w:rPr>
      </w:pPr>
    </w:p>
    <w:tbl>
      <w:tblPr>
        <w:tblStyle w:val="T3"/>
        <w:tblW w:w="9809" w:type="dxa"/>
        <w:jc w:val="center"/>
        <w:tblLayout w:type="autofit"/>
        <w:tblCellMar>
          <w:left w:w="28" w:type="dxa"/>
          <w:right w:w="28" w:type="dxa"/>
        </w:tblCellMar>
      </w:tblPr>
      <w:tblGrid/>
      <w:tr>
        <w:trPr>
          <w:wAfter w:w="0" w:type="dxa"/>
        </w:trPr>
        <w:tc>
          <w:tcPr>
            <w:tcW w:w="232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r>
              <w:rPr>
                <w:rFonts w:ascii="Arial" w:hAnsi="Arial"/>
                <w:sz w:val="16"/>
              </w:rPr>
              <w:t>Type of motor energy</w:t>
            </w:r>
          </w:p>
        </w:tc>
        <w:tc>
          <w:tcPr>
            <w:tcW w:w="3742" w:type="dxa"/>
            <w:gridSpan w:val="2"/>
            <w:tcBorders>
              <w:left w:val="single" w:sz="4" w:space="0" w:shadow="0" w:frame="0"/>
            </w:tcBorders>
            <w:vAlign w:val="center"/>
          </w:tcPr>
          <w:p>
            <w:pPr>
              <w:spacing w:before="120" w:after="120"/>
              <w:jc w:val="center"/>
              <w:rPr>
                <w:rFonts w:ascii="Arial" w:hAnsi="Arial"/>
                <w:sz w:val="16"/>
              </w:rPr>
            </w:pPr>
            <w:r>
              <w:rPr>
                <w:rFonts w:ascii="Arial" w:hAnsi="Arial"/>
                <w:sz w:val="16"/>
              </w:rPr>
              <w:t>III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III quarter 2013</w:t>
            </w:r>
          </w:p>
        </w:tc>
      </w:tr>
      <w:tr>
        <w:trPr>
          <w:wAfter w:w="0" w:type="dxa"/>
        </w:trPr>
        <w:tc>
          <w:tcPr>
            <w:tcW w:w="2325" w:type="dxa"/>
            <w:vMerge w:val="continue"/>
            <w:tcBorders>
              <w:top w:val="none" w:sz="0"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p>
        </w:tc>
        <w:tc>
          <w:tcPr>
            <w:tcW w:w="1871" w:type="dxa"/>
            <w:tcBorders>
              <w:left w:val="single" w:sz="4" w:space="0" w:shadow="0" w:frame="0"/>
              <w:bottom w:val="single" w:sz="4" w:space="0" w:shadow="0" w:frame="0"/>
            </w:tcBorders>
            <w:vAlign w:val="center"/>
          </w:tcPr>
          <w:p>
            <w:pPr>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b w:val="1"/>
                <w:sz w:val="16"/>
              </w:rPr>
            </w:pP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Fonts w:ascii="Arial" w:hAnsi="Arial"/>
                <w:b w:val="1"/>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b w:val="1"/>
                <w:sz w:val="16"/>
              </w:rPr>
            </w:pPr>
          </w:p>
        </w:tc>
        <w:tc>
          <w:tcPr>
            <w:tcW w:w="1871"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Fonts w:ascii="Arial" w:hAnsi="Arial"/>
                <w:b w:val="1"/>
                <w:sz w:val="16"/>
              </w:rPr>
            </w:pP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1633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b w:val="1"/>
                <w:sz w:val="16"/>
              </w:rPr>
            </w:pPr>
            <w:r>
              <w:rPr>
                <w:rFonts w:ascii="Arial" w:hAnsi="Arial"/>
                <w:b w:val="1"/>
                <w:sz w:val="16"/>
              </w:rPr>
              <w:t>474</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2395</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576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Petrol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179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71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143</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31</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Eurodiesel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1181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338</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1889</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427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Diesel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202</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182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Petrol-LPG</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63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181</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115</w:t>
            </w:r>
          </w:p>
        </w:tc>
      </w:tr>
    </w:tbl>
    <w:p>
      <w:pPr>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spacing w:after="60"/>
        <w:ind w:left="357"/>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r>
        <w:rPr>
          <w:rFonts w:ascii="Arial" w:hAnsi="Arial"/>
          <w:b w:val="1"/>
          <w:sz w:val="20"/>
        </w:rPr>
        <w:t>4. Number of first time registered passenger</w:t>
      </w:r>
      <w:r>
        <w:rPr>
          <w:rFonts w:ascii="Arial" w:hAnsi="Arial"/>
          <w:b w:val="1"/>
          <w:sz w:val="20"/>
        </w:rPr>
        <w:t>s’</w:t>
      </w:r>
      <w:r>
        <w:rPr>
          <w:rFonts w:ascii="Arial" w:hAnsi="Arial"/>
          <w:b w:val="1"/>
          <w:sz w:val="20"/>
        </w:rPr>
        <w:t xml:space="preserve"> cars by the most dominant type of motor energy and size of engine </w:t>
      </w:r>
    </w:p>
    <w:tbl>
      <w:tblPr>
        <w:tblStyle w:val="T3"/>
        <w:tblW w:w="9809" w:type="dxa"/>
        <w:jc w:val="center"/>
        <w:tblLayout w:type="autofit"/>
        <w:tblCellMar>
          <w:left w:w="28" w:type="dxa"/>
          <w:right w:w="28" w:type="dxa"/>
        </w:tblCellMar>
      </w:tblPr>
      <w:tblGrid/>
      <w:tr>
        <w:trPr>
          <w:wAfter w:w="0" w:type="dxa"/>
        </w:trPr>
        <w:tc>
          <w:tcPr>
            <w:tcW w:w="232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before="60"/>
              <w:jc w:val="center"/>
              <w:rPr>
                <w:rFonts w:ascii="Arial" w:hAnsi="Arial"/>
                <w:sz w:val="16"/>
              </w:rPr>
            </w:pPr>
            <w:r>
              <w:rPr>
                <w:rFonts w:ascii="Arial" w:hAnsi="Arial"/>
                <w:sz w:val="16"/>
              </w:rPr>
              <w:t>Size of engine (cm</w:t>
            </w:r>
            <w:r>
              <w:rPr>
                <w:rFonts w:ascii="Arial" w:hAnsi="Arial"/>
                <w:sz w:val="16"/>
                <w:vertAlign w:val="superscript"/>
              </w:rPr>
              <w:t>3</w:t>
            </w:r>
            <w:r>
              <w:rPr>
                <w:rFonts w:ascii="Arial" w:hAnsi="Arial"/>
                <w:sz w:val="16"/>
              </w:rPr>
              <w:t>)</w:t>
            </w:r>
          </w:p>
        </w:tc>
        <w:tc>
          <w:tcPr>
            <w:tcW w:w="3742" w:type="dxa"/>
            <w:gridSpan w:val="2"/>
            <w:tcBorders>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III quarter 2012</w:t>
            </w:r>
          </w:p>
        </w:tc>
        <w:tc>
          <w:tcPr>
            <w:tcW w:w="3742" w:type="dxa"/>
            <w:gridSpan w:val="2"/>
            <w:tcBorders>
              <w:bottom w:val="single" w:sz="4" w:space="0" w:shadow="0" w:frame="0"/>
              <w:right w:val="none" w:sz="0" w:space="0" w:shadow="0" w:frame="0"/>
            </w:tcBorders>
            <w:vAlign w:val="center"/>
          </w:tcPr>
          <w:p>
            <w:pPr>
              <w:spacing w:before="120" w:after="120"/>
              <w:jc w:val="center"/>
              <w:rPr>
                <w:rFonts w:ascii="Arial" w:hAnsi="Arial"/>
                <w:sz w:val="16"/>
              </w:rPr>
            </w:pPr>
            <w:r>
              <w:rPr>
                <w:rFonts w:ascii="Arial" w:hAnsi="Arial"/>
                <w:sz w:val="16"/>
              </w:rPr>
              <w:t>III quarter 2013</w:t>
            </w:r>
          </w:p>
        </w:tc>
      </w:tr>
      <w:tr>
        <w:trPr>
          <w:wAfter w:w="0" w:type="dxa"/>
        </w:trPr>
        <w:tc>
          <w:tcPr>
            <w:tcW w:w="2325"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p>
        </w:tc>
        <w:tc>
          <w:tcPr>
            <w:tcW w:w="1871" w:type="dxa"/>
            <w:tcBorders>
              <w:left w:val="single" w:sz="4" w:space="0" w:shadow="0" w:frame="0"/>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spacing w:before="60"/>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spacing w:before="60"/>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before="60"/>
              <w:rPr>
                <w:rFonts w:ascii="Arial" w:hAnsi="Arial"/>
                <w:sz w:val="16"/>
              </w:rPr>
            </w:pPr>
            <w:r>
              <w:rPr>
                <w:rFonts w:ascii="Arial" w:hAnsi="Arial"/>
                <w:b w:val="1"/>
                <w:sz w:val="16"/>
              </w:rPr>
              <w:t>Total</w:t>
            </w: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45" w:before="80"/>
              <w:ind w:right="284"/>
              <w:jc w:val="right"/>
              <w:rPr>
                <w:rFonts w:ascii="Arial" w:hAnsi="Arial"/>
                <w:b w:val="1"/>
                <w:sz w:val="16"/>
              </w:rPr>
            </w:pPr>
            <w:r>
              <w:rPr>
                <w:rFonts w:ascii="Arial" w:hAnsi="Arial"/>
                <w:b w:val="1"/>
                <w:sz w:val="16"/>
              </w:rPr>
              <w:t>32794</w:t>
            </w: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45" w:before="80"/>
              <w:ind w:right="284"/>
              <w:jc w:val="right"/>
              <w:rPr>
                <w:rFonts w:ascii="Arial" w:hAnsi="Arial"/>
                <w:b w:val="1"/>
                <w:sz w:val="16"/>
              </w:rPr>
            </w:pPr>
            <w:r>
              <w:rPr>
                <w:rFonts w:ascii="Arial" w:hAnsi="Arial"/>
                <w:b w:val="1"/>
                <w:sz w:val="16"/>
              </w:rPr>
              <w:t>4060</w:t>
            </w:r>
          </w:p>
        </w:tc>
        <w:tc>
          <w:tcPr>
            <w:tcW w:w="1871"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5"/>
              <w:ind w:right="284"/>
              <w:jc w:val="right"/>
              <w:rPr>
                <w:rFonts w:ascii="Arial" w:hAnsi="Arial"/>
                <w:b w:val="1"/>
                <w:sz w:val="16"/>
              </w:rPr>
            </w:pPr>
            <w:r>
              <w:rPr>
                <w:rFonts w:ascii="Arial" w:hAnsi="Arial"/>
                <w:b w:val="1"/>
                <w:sz w:val="16"/>
              </w:rPr>
              <w:t>36359</w:t>
            </w:r>
          </w:p>
        </w:tc>
        <w:tc>
          <w:tcPr>
            <w:tcW w:w="1871" w:type="dxa"/>
            <w:tcBorders>
              <w:top w:val="single" w:sz="4" w:space="0" w:shadow="0" w:frame="0"/>
              <w:left w:val="none" w:sz="0" w:space="0" w:shadow="0" w:frame="0"/>
              <w:bottom w:val="none" w:sz="0" w:space="0" w:shadow="0" w:frame="0"/>
              <w:right w:val="none" w:sz="0" w:space="0" w:shadow="0" w:frame="0"/>
            </w:tcBorders>
            <w:vAlign w:val="center"/>
          </w:tcPr>
          <w:p>
            <w:pPr>
              <w:spacing w:lineRule="auto" w:line="245"/>
              <w:ind w:right="284"/>
              <w:jc w:val="right"/>
              <w:rPr>
                <w:rFonts w:ascii="Arial" w:hAnsi="Arial"/>
                <w:b w:val="1"/>
                <w:sz w:val="16"/>
              </w:rPr>
            </w:pPr>
            <w:r>
              <w:rPr>
                <w:rFonts w:ascii="Arial" w:hAnsi="Arial"/>
                <w:b w:val="1"/>
                <w:sz w:val="16"/>
              </w:rPr>
              <w:t>3741</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center"/>
              <w:rPr>
                <w:rFonts w:ascii="Arial" w:hAnsi="Arial"/>
                <w:b w:val="1"/>
                <w:sz w:val="16"/>
              </w:rPr>
            </w:pPr>
          </w:p>
        </w:tc>
        <w:tc>
          <w:tcPr>
            <w:tcW w:w="3742" w:type="dxa"/>
            <w:gridSpan w:val="2"/>
            <w:tcBorders>
              <w:top w:val="none" w:sz="0" w:space="0" w:shadow="0" w:frame="0"/>
              <w:left w:val="single" w:sz="4" w:space="0" w:shadow="0" w:frame="0"/>
              <w:bottom w:val="none" w:sz="0" w:space="0" w:shadow="0" w:frame="0"/>
              <w:right w:val="single" w:sz="4"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petrol</w:t>
            </w:r>
          </w:p>
        </w:tc>
        <w:tc>
          <w:tcPr>
            <w:tcW w:w="3742" w:type="dxa"/>
            <w:gridSpan w:val="2"/>
            <w:tcBorders>
              <w:top w:val="none" w:sz="0" w:space="0" w:shadow="0" w:frame="0"/>
              <w:left w:val="single" w:sz="4" w:space="0" w:shadow="0" w:frame="0"/>
              <w:bottom w:val="none" w:sz="0" w:space="0" w:shadow="0" w:frame="0"/>
              <w:right w:val="none" w:sz="0"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petrol</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14694</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b w:val="1"/>
                <w:sz w:val="16"/>
              </w:rPr>
            </w:pPr>
            <w:r>
              <w:rPr>
                <w:rFonts w:ascii="Arial" w:hAnsi="Arial"/>
                <w:b w:val="1"/>
                <w:sz w:val="16"/>
              </w:rPr>
              <w:t>2447</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15357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2244</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1399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8392</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1559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8918</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1599</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1400 - 1999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6096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853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6223</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627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2000 and more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206</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35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216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18</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center"/>
              <w:rPr>
                <w:rFonts w:ascii="Arial" w:hAnsi="Arial"/>
                <w:b w:val="1"/>
                <w:sz w:val="16"/>
              </w:rPr>
            </w:pPr>
          </w:p>
        </w:tc>
        <w:tc>
          <w:tcPr>
            <w:tcW w:w="3742" w:type="dxa"/>
            <w:gridSpan w:val="2"/>
            <w:tcBorders>
              <w:top w:val="none" w:sz="0" w:space="0" w:shadow="0" w:frame="0"/>
              <w:left w:val="single" w:sz="4" w:space="0" w:shadow="0" w:frame="0"/>
              <w:bottom w:val="none" w:sz="0" w:space="0" w:shadow="0" w:frame="0"/>
              <w:right w:val="single" w:sz="4"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diesel</w:t>
            </w:r>
          </w:p>
        </w:tc>
        <w:tc>
          <w:tcPr>
            <w:tcW w:w="3742" w:type="dxa"/>
            <w:gridSpan w:val="2"/>
            <w:tcBorders>
              <w:top w:val="none" w:sz="0" w:space="0" w:shadow="0" w:frame="0"/>
              <w:left w:val="single" w:sz="4" w:space="0" w:shadow="0" w:frame="0"/>
              <w:bottom w:val="none" w:sz="0" w:space="0" w:shadow="0" w:frame="0"/>
              <w:right w:val="none" w:sz="0" w:space="0" w:shadow="0" w:frame="0"/>
            </w:tcBorders>
            <w:vAlign w:val="center"/>
          </w:tcPr>
          <w:p>
            <w:pPr>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diesel</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18025</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b w:val="1"/>
                <w:sz w:val="16"/>
              </w:rPr>
            </w:pPr>
            <w:r>
              <w:rPr>
                <w:rFonts w:ascii="Arial" w:hAnsi="Arial"/>
                <w:b w:val="1"/>
                <w:sz w:val="16"/>
              </w:rPr>
              <w:t>1613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20997</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b w:val="1"/>
                <w:sz w:val="16"/>
              </w:rPr>
            </w:pPr>
            <w:r>
              <w:rPr>
                <w:rFonts w:ascii="Arial" w:hAnsi="Arial"/>
                <w:b w:val="1"/>
                <w:sz w:val="16"/>
              </w:rPr>
              <w:t>1497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1399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1149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136</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1400</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128</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1400 - 1999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15497</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1224</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18098</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1119</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2000 and more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1379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45"/>
              <w:ind w:right="284"/>
              <w:jc w:val="right"/>
              <w:rPr>
                <w:rFonts w:ascii="Arial" w:hAnsi="Arial"/>
                <w:sz w:val="16"/>
              </w:rPr>
            </w:pPr>
            <w:r>
              <w:rPr>
                <w:rFonts w:ascii="Arial" w:hAnsi="Arial"/>
                <w:sz w:val="16"/>
              </w:rPr>
              <w:t>253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1499</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45"/>
              <w:ind w:right="284"/>
              <w:jc w:val="right"/>
              <w:rPr>
                <w:rFonts w:ascii="Arial" w:hAnsi="Arial"/>
                <w:sz w:val="16"/>
              </w:rPr>
            </w:pPr>
            <w:r>
              <w:rPr>
                <w:rFonts w:ascii="Arial" w:hAnsi="Arial"/>
                <w:sz w:val="16"/>
              </w:rPr>
              <w:t>250</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spacing w:lineRule="auto" w:line="252" w:after="60"/>
        <w:rPr>
          <w:rFonts w:ascii="Arial" w:hAnsi="Arial"/>
          <w:b w:val="1"/>
          <w:sz w:val="40"/>
        </w:rPr>
      </w:pPr>
    </w:p>
    <w:p>
      <w:pPr>
        <w:spacing w:after="60"/>
        <w:rPr>
          <w:rFonts w:ascii="Arial" w:hAnsi="Arial"/>
          <w:b w:val="1"/>
          <w:sz w:val="20"/>
        </w:rPr>
      </w:pPr>
      <w:r>
        <w:rPr>
          <w:rFonts w:ascii="Arial" w:hAnsi="Arial"/>
          <w:b w:val="1"/>
          <w:sz w:val="20"/>
        </w:rPr>
        <w:t xml:space="preserve">5. </w:t>
      </w:r>
      <w:r>
        <w:rPr>
          <w:rFonts w:ascii="Arial" w:hAnsi="Arial"/>
          <w:b w:val="1"/>
          <w:sz w:val="20"/>
        </w:rPr>
        <w:t>Number of injury road accidents</w:t>
      </w:r>
      <w:r>
        <w:rPr>
          <w:rFonts w:ascii="Arial" w:hAnsi="Arial"/>
          <w:b w:val="1"/>
          <w:sz w:val="20"/>
          <w:vertAlign w:val="superscript"/>
        </w:rPr>
        <w:t>1)</w:t>
      </w:r>
    </w:p>
    <w:tbl>
      <w:tblPr>
        <w:tblStyle w:val="T3"/>
        <w:tblW w:w="0" w:type="auto"/>
        <w:jc w:val="center"/>
        <w:tblLayout w:type="fixed"/>
        <w:tblCellMar>
          <w:left w:w="28" w:type="dxa"/>
          <w:right w:w="28" w:type="dxa"/>
        </w:tblCellMar>
      </w:tblPr>
      <w:tblGrid/>
      <w:tr>
        <w:trPr>
          <w:wAfter w:w="0" w:type="dxa"/>
        </w:trPr>
        <w:tc>
          <w:tcPr>
            <w:tcW w:w="2665" w:type="dxa"/>
            <w:vMerge w:val="restart"/>
            <w:tcBorders>
              <w:top w:val="single" w:sz="4" w:space="0" w:shadow="0" w:frame="0"/>
              <w:left w:val="none" w:sz="0" w:space="0" w:shadow="0" w:frame="0"/>
              <w:bottom w:val="single" w:sz="4" w:space="0" w:shadow="0" w:frame="0"/>
              <w:right w:val="single" w:sz="4" w:space="0" w:shadow="0" w:frame="0"/>
            </w:tcBorders>
            <w:shd w:val="nil" w:color="auto" w:fill="auto"/>
            <w:vAlign w:val="center"/>
          </w:tcPr>
          <w:p>
            <w:pPr>
              <w:spacing w:lineRule="auto" w:line="252"/>
              <w:jc w:val="center"/>
              <w:rPr>
                <w:rFonts w:ascii="Arial" w:hAnsi="Arial"/>
                <w:sz w:val="16"/>
              </w:rPr>
            </w:pPr>
            <w:r>
              <w:rPr>
                <w:rFonts w:ascii="Arial" w:hAnsi="Arial"/>
                <w:sz w:val="16"/>
              </w:rPr>
              <w:t>Location of accidents</w:t>
            </w:r>
          </w:p>
        </w:tc>
        <w:tc>
          <w:tcPr>
            <w:tcW w:w="3573" w:type="dxa"/>
            <w:gridSpan w:val="3"/>
            <w:tcBorders>
              <w:left w:val="single" w:sz="4" w:space="0" w:shadow="0" w:frame="0"/>
            </w:tcBorders>
            <w:shd w:val="nil" w:color="auto" w:fill="auto"/>
            <w:vAlign w:val="center"/>
          </w:tcPr>
          <w:p>
            <w:pPr>
              <w:spacing w:before="120" w:after="120"/>
              <w:jc w:val="center"/>
              <w:rPr>
                <w:rFonts w:ascii="Arial" w:hAnsi="Arial"/>
                <w:sz w:val="16"/>
              </w:rPr>
            </w:pPr>
            <w:r>
              <w:rPr>
                <w:rFonts w:ascii="Arial" w:hAnsi="Arial"/>
                <w:sz w:val="16"/>
              </w:rPr>
              <w:t>III quarter 2012</w:t>
            </w:r>
          </w:p>
        </w:tc>
        <w:tc>
          <w:tcPr>
            <w:tcW w:w="3573" w:type="dxa"/>
            <w:gridSpan w:val="3"/>
            <w:tcBorders>
              <w:right w:val="none" w:sz="0" w:space="0" w:shadow="0" w:frame="0"/>
            </w:tcBorders>
            <w:vAlign w:val="center"/>
          </w:tcPr>
          <w:p>
            <w:pPr>
              <w:spacing w:before="120" w:after="120"/>
              <w:jc w:val="center"/>
              <w:rPr>
                <w:rFonts w:ascii="Arial" w:hAnsi="Arial"/>
                <w:sz w:val="16"/>
              </w:rPr>
            </w:pPr>
            <w:r>
              <w:rPr>
                <w:rFonts w:ascii="Arial" w:hAnsi="Arial"/>
                <w:sz w:val="16"/>
              </w:rPr>
              <w:t>III quarter 2013</w:t>
            </w:r>
          </w:p>
        </w:tc>
      </w:tr>
      <w:tr>
        <w:trPr>
          <w:wAfter w:w="0" w:type="dxa"/>
        </w:trPr>
        <w:tc>
          <w:tcPr>
            <w:tcW w:w="2665" w:type="dxa"/>
            <w:vMerge w:val="continue"/>
            <w:tcBorders>
              <w:top w:val="none" w:sz="0" w:space="0" w:shadow="0" w:frame="0"/>
              <w:left w:val="none" w:sz="0" w:space="0" w:shadow="0" w:frame="0"/>
              <w:bottom w:val="single" w:sz="4" w:space="0" w:shadow="0" w:frame="0"/>
              <w:right w:val="single" w:sz="4" w:space="0" w:shadow="0" w:frame="0"/>
            </w:tcBorders>
            <w:shd w:val="nil" w:color="auto" w:fill="auto"/>
            <w:vAlign w:val="center"/>
          </w:tcPr>
          <w:p>
            <w:pPr>
              <w:spacing w:lineRule="auto" w:line="252"/>
              <w:jc w:val="center"/>
              <w:rPr>
                <w:rFonts w:ascii="Arial" w:hAnsi="Arial"/>
                <w:sz w:val="16"/>
              </w:rPr>
            </w:pPr>
          </w:p>
        </w:tc>
        <w:tc>
          <w:tcPr>
            <w:tcW w:w="1191" w:type="dxa"/>
            <w:tcBorders>
              <w:left w:val="single" w:sz="4" w:space="0" w:shadow="0" w:frame="0"/>
              <w:bottom w:val="single" w:sz="4" w:space="0" w:shadow="0" w:frame="0"/>
            </w:tcBorders>
            <w:shd w:val="nil" w:color="auto" w:fill="auto"/>
            <w:vAlign w:val="center"/>
          </w:tcPr>
          <w:p>
            <w:pPr>
              <w:tabs>
                <w:tab w:val="left" w:pos="3969" w:leader="none"/>
              </w:tabs>
              <w:spacing w:before="40" w:after="40"/>
              <w:ind w:left="-57" w:right="-57"/>
              <w:jc w:val="center"/>
              <w:rPr>
                <w:rFonts w:ascii="Arial" w:hAnsi="Arial"/>
                <w:sz w:val="16"/>
              </w:rPr>
            </w:pPr>
            <w:r>
              <w:rPr>
                <w:rFonts w:ascii="Arial" w:hAnsi="Arial"/>
                <w:sz w:val="16"/>
              </w:rPr>
              <w:t>Total injury accidents</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Arial" w:hAnsi="Arial"/>
                <w:sz w:val="16"/>
              </w:rPr>
            </w:pPr>
            <w:r>
              <w:rPr>
                <w:rFonts w:ascii="Arial" w:hAnsi="Arial"/>
                <w:sz w:val="16"/>
              </w:rPr>
              <w:t>Total injury accidents</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1191" w:type="dxa"/>
            <w:tcBorders>
              <w:bottom w:val="single" w:sz="4" w:space="0" w:shadow="0" w:frame="0"/>
              <w:right w:val="none" w:sz="0" w:space="0" w:shadow="0" w:frame="0"/>
            </w:tcBorders>
            <w:vAlign w:val="center"/>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r>
      <w:tr>
        <w:trPr>
          <w:wAfter w:w="0" w:type="dxa"/>
        </w:trPr>
        <w:tc>
          <w:tcPr>
            <w:tcW w:w="266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4173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220</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3953</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3895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187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3708</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Within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3661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162</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3499</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3381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137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3244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Street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1921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64</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1857</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1720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1667</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Crossing</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824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807</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803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793</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National roads, Class I and Class II within built-up areas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835</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858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784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Outside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512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58</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454</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514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464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Crossroads - total </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4</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Provincial (municipal) roads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Open road-total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507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57</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450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509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459</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220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29</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191</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200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175</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243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24</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219</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243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222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Provincial (municipal) roads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40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62</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spacing w:lineRule="auto" w:line="252" w:after="60"/>
        <w:ind w:left="357"/>
        <w:rPr>
          <w:rFonts w:ascii="Arial" w:hAnsi="Arial"/>
          <w:b w:val="1"/>
          <w:sz w:val="40"/>
        </w:rPr>
      </w:pPr>
    </w:p>
    <w:p>
      <w:pPr>
        <w:spacing w:after="60"/>
        <w:rPr>
          <w:rFonts w:ascii="Arial" w:hAnsi="Arial"/>
          <w:b w:val="1"/>
          <w:sz w:val="20"/>
        </w:rPr>
      </w:pPr>
      <w:r>
        <w:rPr>
          <w:rFonts w:ascii="Arial" w:hAnsi="Arial"/>
          <w:b w:val="1"/>
          <w:sz w:val="20"/>
        </w:rPr>
        <w:t xml:space="preserve">6. </w:t>
      </w:r>
      <w:r>
        <w:rPr>
          <w:rFonts w:ascii="Arial" w:hAnsi="Arial"/>
          <w:b w:val="1"/>
          <w:sz w:val="20"/>
        </w:rPr>
        <w:t>Number of casualties</w:t>
      </w:r>
      <w:r>
        <w:rPr>
          <w:rFonts w:ascii="Arial" w:hAnsi="Arial"/>
          <w:b w:val="1"/>
          <w:sz w:val="20"/>
          <w:vertAlign w:val="superscript"/>
        </w:rPr>
        <w:t>1)</w:t>
      </w:r>
    </w:p>
    <w:tbl>
      <w:tblPr>
        <w:tblStyle w:val="T3"/>
        <w:tblW w:w="0" w:type="auto"/>
        <w:jc w:val="center"/>
        <w:tblLayout w:type="autofit"/>
        <w:tblCellMar>
          <w:left w:w="28" w:type="dxa"/>
          <w:right w:w="28" w:type="dxa"/>
        </w:tblCellMar>
      </w:tblPr>
      <w:tblGrid/>
      <w:tr>
        <w:trPr>
          <w:wAfter w:w="0" w:type="dxa"/>
        </w:trPr>
        <w:tc>
          <w:tcPr>
            <w:tcW w:w="2266" w:type="dxa"/>
            <w:vMerge w:val="restart"/>
            <w:tcBorders>
              <w:top w:val="single" w:sz="4" w:space="0" w:shadow="0" w:frame="0"/>
              <w:left w:val="none" w:sz="0" w:space="0" w:shadow="0" w:frame="0"/>
              <w:right w:val="single" w:sz="4" w:space="0" w:shadow="0" w:frame="0"/>
            </w:tcBorders>
            <w:vAlign w:val="center"/>
          </w:tcPr>
          <w:p>
            <w:pPr>
              <w:spacing w:lineRule="auto" w:line="252"/>
              <w:jc w:val="center"/>
              <w:rPr>
                <w:rFonts w:ascii="Arial" w:hAnsi="Arial"/>
                <w:sz w:val="16"/>
              </w:rPr>
            </w:pPr>
            <w:r>
              <w:rPr>
                <w:rFonts w:ascii="Arial" w:hAnsi="Arial"/>
                <w:sz w:val="16"/>
              </w:rPr>
              <w:t>Location of accidents</w:t>
            </w:r>
          </w:p>
        </w:tc>
        <w:tc>
          <w:tcPr>
            <w:tcW w:w="3829" w:type="dxa"/>
            <w:gridSpan w:val="5"/>
            <w:tcBorders>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III quarter 2012</w:t>
            </w:r>
          </w:p>
        </w:tc>
        <w:tc>
          <w:tcPr>
            <w:tcW w:w="3828" w:type="dxa"/>
            <w:gridSpan w:val="5"/>
            <w:tcBorders>
              <w:right w:val="none" w:sz="0" w:space="0" w:shadow="0" w:frame="0"/>
            </w:tcBorders>
            <w:vAlign w:val="center"/>
          </w:tcPr>
          <w:p>
            <w:pPr>
              <w:spacing w:before="120" w:after="120"/>
              <w:jc w:val="center"/>
              <w:rPr>
                <w:rFonts w:ascii="Arial" w:hAnsi="Arial"/>
                <w:sz w:val="16"/>
              </w:rPr>
            </w:pPr>
            <w:r>
              <w:rPr>
                <w:rFonts w:ascii="Arial" w:hAnsi="Arial"/>
                <w:sz w:val="16"/>
              </w:rPr>
              <w:t>III quarter 2013</w:t>
            </w:r>
          </w:p>
        </w:tc>
      </w:tr>
      <w:tr>
        <w:trPr>
          <w:wAfter w:w="0" w:type="dxa"/>
        </w:trPr>
        <w:tc>
          <w:tcPr>
            <w:tcW w:w="2266" w:type="dxa"/>
            <w:vMerge w:val="continue"/>
            <w:tcBorders>
              <w:left w:val="none" w:sz="0" w:space="0" w:shadow="0" w:frame="0"/>
              <w:right w:val="single" w:sz="4" w:space="0" w:shadow="0" w:frame="0"/>
            </w:tcBorders>
            <w:vAlign w:val="center"/>
          </w:tcPr>
          <w:p>
            <w:pPr>
              <w:spacing w:lineRule="auto" w:line="252"/>
              <w:jc w:val="center"/>
              <w:rPr>
                <w:rFonts w:ascii="Arial" w:hAnsi="Arial"/>
                <w:sz w:val="16"/>
              </w:rPr>
            </w:pPr>
          </w:p>
        </w:tc>
        <w:tc>
          <w:tcPr>
            <w:tcW w:w="820" w:type="dxa"/>
            <w:vMerge w:val="restart"/>
            <w:tcBorders>
              <w:left w:val="single" w:sz="4" w:space="0" w:shadow="0" w:frame="0"/>
            </w:tcBorders>
            <w:vAlign w:val="center"/>
          </w:tcPr>
          <w:p>
            <w:pPr>
              <w:jc w:val="center"/>
              <w:rPr>
                <w:rFonts w:ascii="Arial" w:hAnsi="Arial"/>
                <w:sz w:val="16"/>
              </w:rPr>
            </w:pPr>
            <w:r>
              <w:rPr>
                <w:rFonts w:ascii="Arial" w:hAnsi="Arial"/>
                <w:sz w:val="16"/>
              </w:rPr>
              <w:t xml:space="preserve">Total casualties </w:t>
            </w:r>
          </w:p>
        </w:tc>
        <w:tc>
          <w:tcPr>
            <w:tcW w:w="669" w:type="dxa"/>
            <w:vMerge w:val="restart"/>
            <w:vAlign w:val="center"/>
          </w:tcPr>
          <w:p>
            <w:pPr>
              <w:jc w:val="center"/>
              <w:rPr>
                <w:rFonts w:ascii="Arial" w:hAnsi="Arial"/>
                <w:sz w:val="16"/>
              </w:rPr>
            </w:pPr>
            <w:r>
              <w:rPr>
                <w:rFonts w:ascii="Arial" w:hAnsi="Arial"/>
                <w:sz w:val="16"/>
              </w:rPr>
              <w:t>killed</w:t>
            </w:r>
          </w:p>
        </w:tc>
        <w:tc>
          <w:tcPr>
            <w:tcW w:w="2340" w:type="dxa"/>
            <w:gridSpan w:val="3"/>
            <w:tcBorders>
              <w:bottom w:val="single" w:sz="4" w:space="0" w:shadow="0" w:frame="0"/>
            </w:tcBorders>
            <w:vAlign w:val="center"/>
          </w:tcPr>
          <w:p>
            <w:pPr>
              <w:jc w:val="center"/>
              <w:rPr>
                <w:rFonts w:ascii="Arial" w:hAnsi="Arial"/>
                <w:sz w:val="16"/>
              </w:rPr>
            </w:pPr>
            <w:r>
              <w:rPr>
                <w:rFonts w:ascii="Arial" w:hAnsi="Arial"/>
                <w:sz w:val="16"/>
              </w:rPr>
              <w:t>injured</w:t>
            </w:r>
          </w:p>
        </w:tc>
        <w:tc>
          <w:tcPr>
            <w:tcW w:w="819" w:type="dxa"/>
            <w:vMerge w:val="restart"/>
            <w:vAlign w:val="center"/>
          </w:tcPr>
          <w:p>
            <w:pPr>
              <w:jc w:val="center"/>
              <w:rPr>
                <w:rFonts w:ascii="Arial" w:hAnsi="Arial"/>
                <w:sz w:val="16"/>
              </w:rPr>
            </w:pPr>
            <w:r>
              <w:rPr>
                <w:rFonts w:ascii="Arial" w:hAnsi="Arial"/>
                <w:sz w:val="16"/>
              </w:rPr>
              <w:t xml:space="preserve">Total casualties </w:t>
            </w:r>
          </w:p>
        </w:tc>
        <w:tc>
          <w:tcPr>
            <w:tcW w:w="669" w:type="dxa"/>
            <w:vMerge w:val="restart"/>
            <w:vAlign w:val="center"/>
          </w:tcPr>
          <w:p>
            <w:pPr>
              <w:jc w:val="center"/>
              <w:rPr>
                <w:rFonts w:ascii="Arial" w:hAnsi="Arial"/>
                <w:sz w:val="16"/>
              </w:rPr>
            </w:pPr>
            <w:r>
              <w:rPr>
                <w:rFonts w:ascii="Arial" w:hAnsi="Arial"/>
                <w:sz w:val="16"/>
              </w:rPr>
              <w:t>killed</w:t>
            </w:r>
          </w:p>
        </w:tc>
        <w:tc>
          <w:tcPr>
            <w:tcW w:w="2340" w:type="dxa"/>
            <w:gridSpan w:val="3"/>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injured</w:t>
            </w:r>
          </w:p>
        </w:tc>
      </w:tr>
      <w:tr>
        <w:trPr>
          <w:wAfter w:w="0" w:type="dxa"/>
        </w:trPr>
        <w:tc>
          <w:tcPr>
            <w:tcW w:w="2266" w:type="dxa"/>
            <w:vMerge w:val="continue"/>
            <w:tcBorders>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6"/>
              </w:rPr>
            </w:pPr>
          </w:p>
        </w:tc>
        <w:tc>
          <w:tcPr>
            <w:tcW w:w="820" w:type="dxa"/>
            <w:vMerge w:val="continue"/>
            <w:tcBorders>
              <w:left w:val="single" w:sz="4" w:space="0" w:shadow="0" w:frame="0"/>
              <w:bottom w:val="single" w:sz="4" w:space="0" w:shadow="0" w:frame="0"/>
            </w:tcBorders>
            <w:vAlign w:val="center"/>
          </w:tcPr>
          <w:p>
            <w:pPr>
              <w:jc w:val="center"/>
              <w:rPr>
                <w:rFonts w:ascii="Arial" w:hAnsi="Arial"/>
                <w:sz w:val="16"/>
              </w:rPr>
            </w:pPr>
          </w:p>
        </w:tc>
        <w:tc>
          <w:tcPr>
            <w:tcW w:w="669" w:type="dxa"/>
            <w:vMerge w:val="continue"/>
            <w:tcBorders>
              <w:bottom w:val="single" w:sz="4" w:space="0" w:shadow="0" w:frame="0"/>
            </w:tcBorders>
            <w:vAlign w:val="center"/>
          </w:tcPr>
          <w:p>
            <w:pPr>
              <w:jc w:val="center"/>
              <w:rPr>
                <w:rFonts w:ascii="Arial" w:hAnsi="Arial"/>
                <w:sz w:val="16"/>
              </w:rPr>
            </w:pPr>
          </w:p>
        </w:tc>
        <w:tc>
          <w:tcPr>
            <w:tcW w:w="742"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748" w:type="dxa"/>
            <w:tcBorders>
              <w:bottom w:val="single" w:sz="4" w:space="0" w:shadow="0" w:frame="0"/>
            </w:tcBorders>
            <w:vAlign w:val="center"/>
          </w:tcPr>
          <w:p>
            <w:pPr>
              <w:jc w:val="center"/>
              <w:rPr>
                <w:rStyle w:val="C6"/>
                <w:rFonts w:ascii="Arial" w:hAnsi="Arial"/>
                <w:sz w:val="16"/>
              </w:rPr>
            </w:pPr>
            <w:r>
              <w:rPr>
                <w:rStyle w:val="C6"/>
                <w:rFonts w:ascii="Arial" w:hAnsi="Arial"/>
                <w:sz w:val="16"/>
              </w:rPr>
              <w:t>seriously</w:t>
            </w:r>
          </w:p>
        </w:tc>
        <w:tc>
          <w:tcPr>
            <w:tcW w:w="850" w:type="dxa"/>
            <w:tcBorders>
              <w:bottom w:val="single" w:sz="4" w:space="0" w:shadow="0" w:frame="0"/>
            </w:tcBorders>
            <w:vAlign w:val="center"/>
          </w:tcPr>
          <w:p>
            <w:pPr>
              <w:jc w:val="center"/>
              <w:rPr>
                <w:rFonts w:ascii="Arial" w:hAnsi="Arial"/>
                <w:sz w:val="16"/>
              </w:rPr>
            </w:pPr>
            <w:r>
              <w:rPr>
                <w:rFonts w:ascii="Arial" w:hAnsi="Arial"/>
                <w:sz w:val="16"/>
              </w:rPr>
              <w:t>slightly</w:t>
            </w:r>
          </w:p>
        </w:tc>
        <w:tc>
          <w:tcPr>
            <w:tcW w:w="819" w:type="dxa"/>
            <w:vMerge w:val="continue"/>
            <w:tcBorders>
              <w:bottom w:val="single" w:sz="4" w:space="0" w:shadow="0" w:frame="0"/>
            </w:tcBorders>
            <w:vAlign w:val="center"/>
          </w:tcPr>
          <w:p>
            <w:pPr>
              <w:jc w:val="center"/>
              <w:rPr>
                <w:rFonts w:ascii="Arial" w:hAnsi="Arial"/>
                <w:sz w:val="16"/>
              </w:rPr>
            </w:pPr>
          </w:p>
        </w:tc>
        <w:tc>
          <w:tcPr>
            <w:tcW w:w="669" w:type="dxa"/>
            <w:vMerge w:val="continue"/>
            <w:tcBorders>
              <w:bottom w:val="single" w:sz="4" w:space="0" w:shadow="0" w:frame="0"/>
            </w:tcBorders>
            <w:vAlign w:val="center"/>
          </w:tcPr>
          <w:p>
            <w:pPr>
              <w:jc w:val="center"/>
              <w:rPr>
                <w:rFonts w:ascii="Arial" w:hAnsi="Arial"/>
                <w:sz w:val="16"/>
              </w:rPr>
            </w:pPr>
          </w:p>
        </w:tc>
        <w:tc>
          <w:tcPr>
            <w:tcW w:w="742"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748" w:type="dxa"/>
            <w:tcBorders>
              <w:bottom w:val="single" w:sz="4" w:space="0" w:shadow="0" w:frame="0"/>
            </w:tcBorders>
            <w:vAlign w:val="center"/>
          </w:tcPr>
          <w:p>
            <w:pPr>
              <w:jc w:val="center"/>
              <w:rPr>
                <w:rStyle w:val="C6"/>
                <w:rFonts w:ascii="Arial" w:hAnsi="Arial"/>
                <w:sz w:val="16"/>
              </w:rPr>
            </w:pPr>
            <w:r>
              <w:rPr>
                <w:rStyle w:val="C6"/>
                <w:rFonts w:ascii="Arial" w:hAnsi="Arial"/>
                <w:sz w:val="16"/>
              </w:rPr>
              <w:t>seriously</w:t>
            </w:r>
          </w:p>
        </w:tc>
        <w:tc>
          <w:tcPr>
            <w:tcW w:w="850" w:type="dxa"/>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slightly</w:t>
            </w:r>
          </w:p>
        </w:tc>
      </w:tr>
      <w:tr>
        <w:trPr>
          <w:wAfter w:w="0" w:type="dxa"/>
        </w:trPr>
        <w:tc>
          <w:tcPr>
            <w:tcW w:w="226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82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850"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b w:val="1"/>
                <w:sz w:val="16"/>
              </w:rPr>
            </w:pPr>
          </w:p>
        </w:tc>
        <w:tc>
          <w:tcPr>
            <w:tcW w:w="819"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6045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249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5796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1142</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4654</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5568</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212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5356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1052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4304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Within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5142</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183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4959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950</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4009</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4672</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152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4520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858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3662</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Street</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2557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2480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494</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1986</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2183</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2124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1699</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Crossing</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175</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954</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1100</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National roads, Class I and Class II within built-up areas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1439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1350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281</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1069</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1389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277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Outside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903</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66</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837</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192</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645</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896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60</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836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642</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Crossroads - total </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15</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8</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7</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5</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Provincial (municipal) roads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Open road-total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887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65</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822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192</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b w:val="1"/>
                <w:sz w:val="16"/>
              </w:rPr>
            </w:pPr>
            <w:r>
              <w:rPr>
                <w:rFonts w:ascii="Arial" w:hAnsi="Arial"/>
                <w:b w:val="1"/>
                <w:sz w:val="16"/>
              </w:rPr>
              <w:t>630</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885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60</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825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194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6"/>
              </w:rPr>
            </w:pPr>
            <w:r>
              <w:rPr>
                <w:rFonts w:ascii="Arial" w:hAnsi="Arial"/>
                <w:b w:val="1"/>
                <w:sz w:val="16"/>
              </w:rPr>
              <w:t>631</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389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357</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79</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278</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368</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30</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338</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239</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423</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394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297</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421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26</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395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314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Provincial (municipal) roads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r>
              <w:rPr>
                <w:rFonts w:ascii="Arial" w:hAnsi="Arial"/>
                <w:sz w:val="16"/>
              </w:rPr>
              <w:t>55</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4</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78</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60"/>
        </w:trPr>
        <w:tc>
          <w:tcPr>
            <w:tcW w:w="9639" w:type="dxa"/>
          </w:tcPr>
          <w:p>
            <w:pPr>
              <w:jc w:val="both"/>
              <w:rPr>
                <w:rFonts w:ascii="Arial" w:hAnsi="Arial"/>
                <w:sz w:val="2"/>
              </w:rPr>
            </w:pPr>
          </w:p>
        </w:tc>
      </w:tr>
    </w:tbl>
    <w:p>
      <w:pPr>
        <w:spacing w:before="120"/>
        <w:jc w:val="center"/>
        <w:rPr>
          <w:rFonts w:ascii="Arial" w:hAnsi="Arial"/>
          <w:sz w:val="18"/>
        </w:rPr>
      </w:pPr>
      <w:r>
        <w:rPr>
          <w:rFonts w:ascii="Arial" w:hAnsi="Arial"/>
          <w:sz w:val="18"/>
        </w:rPr>
        <w:t>Contact:</w:t>
      </w:r>
      <w:r>
        <w:rPr>
          <w:i w:val="1"/>
          <w:sz w:val="18"/>
        </w:rPr>
        <w:t xml:space="preserve">  </w:t>
      </w:r>
      <w:r>
        <w:rPr>
          <w:rFonts w:ascii="Arial" w:hAnsi="Arial"/>
          <w:color w:val="0000FF"/>
          <w:sz w:val="18"/>
        </w:rPr>
        <w:t>daliborka.vujin@stat.gov.rs</w:t>
      </w:r>
      <w:r>
        <w:rPr>
          <w:rFonts w:ascii="Arial" w:hAnsi="Arial"/>
          <w:sz w:val="18"/>
        </w:rPr>
        <w:t xml:space="preserve">  phone: +381 11 329 02 69</w:t>
      </w: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rPr>
          <w:sz w:val="18"/>
        </w:rPr>
      </w:pPr>
      <w:r>
        <w:rPr>
          <w:rFonts w:ascii="Arial" w:hAnsi="Arial"/>
          <w:sz w:val="18"/>
        </w:rPr>
        <w:t>Responsible: Dragan Vukmirovic, PhD, Director</w:t>
        <w:br w:type="textWrapping"/>
        <w:t>Circulation: 20 • Issued quarterly</w:t>
      </w:r>
    </w:p>
    <w:p>
      <w:pPr>
        <w:spacing w:after="60"/>
        <w:ind w:left="357"/>
        <w:rPr>
          <w:rFonts w:ascii="Arial" w:hAnsi="Arial"/>
          <w:b w:val="1"/>
          <w:sz w:val="20"/>
        </w:rPr>
      </w:pPr>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rPr>
        <w:rFonts w:ascii="Arial" w:hAnsi="Arial"/>
        <w:sz w:val="16"/>
      </w:rPr>
    </w:pPr>
    <w:r>
      <w:rPr>
        <w:rFonts w:ascii="Arial" w:hAnsi="Arial"/>
        <w:sz w:val="16"/>
      </w:rPr>
      <w:t>SERB337 SV22 061213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SERB337 SV22 061213</w:t>
    </w:r>
  </w:p>
  <w:p>
    <w:pPr>
      <w:pStyle w:val="P16"/>
      <w:pBdr>
        <w:top w:val="single" w:sz="4" w:space="0" w:shadow="0" w:frame="0"/>
      </w:pBdr>
      <w:jc w:val="right"/>
      <w:rPr>
        <w:rFonts w:ascii="Arial" w:hAnsi="Arial"/>
        <w:sz w:val="2"/>
      </w:rPr>
    </w:pPr>
  </w:p>
</w:ftr>
</file>

<file path=word/numbering.xml><?xml version="1.0" encoding="utf-8"?>
<w:numbering xmlns:w="http://schemas.openxmlformats.org/wordprocessingml/2006/main">
  <w:abstractNum w:abstractNumId="0">
    <w:nsid w:val="21AD2CF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11503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B666B95"/>
    <w:multiLevelType w:val="hybridMultilevel"/>
    <w:lvl w:ilvl="0" w:tplc="335C7AB1">
      <w:start w:val="0"/>
      <w:numFmt w:val="bullet"/>
      <w:suff w:val="tab"/>
      <w:lvlText w:val="-"/>
      <w:lvlJc w:val="left"/>
      <w:pPr>
        <w:ind w:hanging="360" w:left="720"/>
        <w:tabs>
          <w:tab w:val="left" w:pos="720" w:leader="none"/>
        </w:tabs>
      </w:pPr>
      <w:rPr>
        <w:rFonts w:ascii="Times New Roman" w:hAnsi="Times New Roman"/>
      </w:rPr>
    </w:lvl>
    <w:lvl w:ilvl="1" w:tplc="04B7DC30">
      <w:start w:val="1"/>
      <w:numFmt w:val="bullet"/>
      <w:suff w:val="tab"/>
      <w:lvlText w:val="o"/>
      <w:lvlJc w:val="left"/>
      <w:pPr>
        <w:ind w:hanging="360" w:left="1440"/>
        <w:tabs>
          <w:tab w:val="left" w:pos="1440" w:leader="none"/>
        </w:tabs>
      </w:pPr>
      <w:rPr>
        <w:rFonts w:ascii="Courier New" w:hAnsi="Courier New"/>
      </w:rPr>
    </w:lvl>
    <w:lvl w:ilvl="2" w:tplc="456B7BC0">
      <w:start w:val="1"/>
      <w:numFmt w:val="bullet"/>
      <w:suff w:val="tab"/>
      <w:lvlText w:val=""/>
      <w:lvlJc w:val="left"/>
      <w:pPr>
        <w:ind w:hanging="360" w:left="2160"/>
        <w:tabs>
          <w:tab w:val="left" w:pos="2160" w:leader="none"/>
        </w:tabs>
      </w:pPr>
      <w:rPr>
        <w:rFonts w:ascii="Wingdings" w:hAnsi="Wingdings"/>
      </w:rPr>
    </w:lvl>
    <w:lvl w:ilvl="3" w:tplc="7CF8A6D1">
      <w:start w:val="1"/>
      <w:numFmt w:val="bullet"/>
      <w:suff w:val="tab"/>
      <w:lvlText w:val=""/>
      <w:lvlJc w:val="left"/>
      <w:pPr>
        <w:ind w:hanging="360" w:left="2880"/>
        <w:tabs>
          <w:tab w:val="left" w:pos="2880" w:leader="none"/>
        </w:tabs>
      </w:pPr>
      <w:rPr>
        <w:rFonts w:ascii="Symbol" w:hAnsi="Symbol"/>
      </w:rPr>
    </w:lvl>
    <w:lvl w:ilvl="4" w:tplc="52F5CB41">
      <w:start w:val="1"/>
      <w:numFmt w:val="bullet"/>
      <w:suff w:val="tab"/>
      <w:lvlText w:val="o"/>
      <w:lvlJc w:val="left"/>
      <w:pPr>
        <w:ind w:hanging="360" w:left="3600"/>
        <w:tabs>
          <w:tab w:val="left" w:pos="3600" w:leader="none"/>
        </w:tabs>
      </w:pPr>
      <w:rPr>
        <w:rFonts w:ascii="Courier New" w:hAnsi="Courier New"/>
      </w:rPr>
    </w:lvl>
    <w:lvl w:ilvl="5" w:tplc="14C738AF">
      <w:start w:val="1"/>
      <w:numFmt w:val="bullet"/>
      <w:suff w:val="tab"/>
      <w:lvlText w:val=""/>
      <w:lvlJc w:val="left"/>
      <w:pPr>
        <w:ind w:hanging="360" w:left="4320"/>
        <w:tabs>
          <w:tab w:val="left" w:pos="4320" w:leader="none"/>
        </w:tabs>
      </w:pPr>
      <w:rPr>
        <w:rFonts w:ascii="Wingdings" w:hAnsi="Wingdings"/>
      </w:rPr>
    </w:lvl>
    <w:lvl w:ilvl="6" w:tplc="0C65D59B">
      <w:start w:val="1"/>
      <w:numFmt w:val="bullet"/>
      <w:suff w:val="tab"/>
      <w:lvlText w:val=""/>
      <w:lvlJc w:val="left"/>
      <w:pPr>
        <w:ind w:hanging="360" w:left="5040"/>
        <w:tabs>
          <w:tab w:val="left" w:pos="5040" w:leader="none"/>
        </w:tabs>
      </w:pPr>
      <w:rPr>
        <w:rFonts w:ascii="Symbol" w:hAnsi="Symbol"/>
      </w:rPr>
    </w:lvl>
    <w:lvl w:ilvl="7" w:tplc="3097B1B5">
      <w:start w:val="1"/>
      <w:numFmt w:val="bullet"/>
      <w:suff w:val="tab"/>
      <w:lvlText w:val="o"/>
      <w:lvlJc w:val="left"/>
      <w:pPr>
        <w:ind w:hanging="360" w:left="5760"/>
        <w:tabs>
          <w:tab w:val="left" w:pos="5760" w:leader="none"/>
        </w:tabs>
      </w:pPr>
      <w:rPr>
        <w:rFonts w:ascii="Courier New" w:hAnsi="Courier New"/>
      </w:rPr>
    </w:lvl>
    <w:lvl w:ilvl="8" w:tplc="7774D454">
      <w:start w:val="1"/>
      <w:numFmt w:val="bullet"/>
      <w:suff w:val="tab"/>
      <w:lvlText w:val=""/>
      <w:lvlJc w:val="left"/>
      <w:pPr>
        <w:ind w:hanging="360" w:left="6480"/>
        <w:tabs>
          <w:tab w:val="left" w:pos="6480" w:leader="none"/>
        </w:tabs>
      </w:pPr>
      <w:rPr>
        <w:rFonts w:ascii="Wingdings" w:hAnsi="Wingdings"/>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short_text"/>
    <w:basedOn w:val="C0"/>
    <w:rPr/>
  </w:style>
  <w:style w:type="character" w:styleId="C6">
    <w:name w:val="hps"/>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2013-12-05T09:09:00Z</dcterms:created>
  <cp:lastModifiedBy>Nikola Kapetanovic</cp:lastModifiedBy>
  <cp:lastPrinted>2011-03-29T08:15:00Z</cp:lastPrinted>
  <dcterms:modified xsi:type="dcterms:W3CDTF">2020-01-10T11:42:40Z</dcterms:modified>
  <cp:revision>4</cp:revision>
  <dc:title>Промет робе у трговини на мало у Републици Србији, јануар 2003</dc:title>
</cp:coreProperties>
</file>