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077C02" Type="http://schemas.openxmlformats.org/officeDocument/2006/relationships/officeDocument" Target="/word/document.xml" /><Relationship Id="coreR17077C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+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34"/>
            </w:pPr>
            <w:r>
              <w:t>Republic of Serbia</w:t>
            </w:r>
          </w:p>
          <w:p>
            <w: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NR</w:t>
            </w:r>
            <w:r>
              <w:rPr>
                <w:b w:val="1"/>
                <w:color w:val="808080"/>
                <w:sz w:val="48"/>
              </w:rPr>
              <w:t>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Number 314 - Year LXIII, 20.11.2013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</w:rPr>
              <w:t>National Accounts Statistics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SERB314 NR21 201113</w:t>
            </w:r>
          </w:p>
        </w:tc>
      </w:tr>
    </w:tbl>
    <w:p>
      <w:pPr>
        <w:pStyle w:val="P2"/>
        <w:spacing w:before="480" w:after="120"/>
        <w:jc w:val="center"/>
        <w:rPr>
          <w:sz w:val="24"/>
        </w:rPr>
      </w:pPr>
      <w:r>
        <w:rPr>
          <w:sz w:val="28"/>
        </w:rPr>
        <w:t>Investments in fixed assets,</w:t>
      </w:r>
      <w:r>
        <w:rPr>
          <w:sz w:val="24"/>
        </w:rPr>
        <w:t xml:space="preserve"> </w:t>
      </w:r>
      <w:r>
        <w:rPr>
          <w:sz w:val="28"/>
        </w:rPr>
        <w:t>Republic of Serbia, 2012</w:t>
      </w:r>
    </w:p>
    <w:p>
      <w:pPr>
        <w:pStyle w:val="P13"/>
      </w:pPr>
    </w:p>
    <w:p>
      <w:pPr>
        <w:spacing w:before="120" w:after="120"/>
        <w:jc w:val="both"/>
      </w:pPr>
      <w:r>
        <w:t>Realized investments in fixed assets in the Republic of Serbia in 2012 increased by 21.4% relative to the previous year, while investments in new fixed assets increased by 23.4% in 2012, compared to the previous year.</w:t>
      </w:r>
    </w:p>
    <w:p>
      <w:pPr>
        <w:spacing w:before="120" w:after="120"/>
        <w:jc w:val="both"/>
      </w:pPr>
      <w:r>
        <w:t xml:space="preserve">Observed by regions, 44.3% of investments were realized in Beogradski region, 23.6% in Region Vojvodine, 23.3% in Region Šumadije i Zapadne Srbije, and 8.8% in Region Južne i Istočne Srbije. </w:t>
      </w:r>
    </w:p>
    <w:p>
      <w:pPr>
        <w:spacing w:before="120" w:after="120"/>
        <w:jc w:val="both"/>
        <w:rPr>
          <w:color w:val="FF0000"/>
        </w:rPr>
      </w:pPr>
      <w:r>
        <w:t>Observed by activities, the greatest share of realized investments in fixed assets in the Republic of Serbia was noted as follows: section of manufacturing – 34.6%, section of trade – 9.9%, section of electricity, gas, steam and air conditioning supply – 9.1%, section public administration and compulsory social security – 7.7% and section of construction – 6.7%.</w:t>
      </w:r>
    </w:p>
    <w:p>
      <w:pPr>
        <w:pStyle w:val="P13"/>
        <w:spacing w:before="120"/>
        <w:jc w:val="both"/>
        <w:rPr>
          <w:color w:val="FF0000"/>
        </w:rPr>
      </w:pPr>
      <w:r>
        <w:t xml:space="preserve">The greatest share in total payments for investments in fixed assets related to payments from own resources – 67.9%.  </w:t>
      </w:r>
    </w:p>
    <w:p/>
    <w:p/>
    <w:p/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630"/>
        </w:trPr>
        <w:tc>
          <w:tcPr>
            <w:tcW w:w="5002" w:type="dxa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Realized investments in fixed assets in the Republic of Serbia</w:t>
            </w:r>
            <w:r>
              <w:rPr>
                <w:b w:val="1"/>
                <w:sz w:val="18"/>
              </w:rPr>
              <w:t>, by regions, 2012</w:t>
            </w:r>
            <w:r>
              <w:rPr>
                <w:b w:val="1"/>
                <w:sz w:val="18"/>
              </w:rPr>
              <w:t xml:space="preserve"> </w:t>
            </w:r>
          </w:p>
        </w:tc>
        <w:tc>
          <w:tcPr>
            <w:tcW w:w="5002" w:type="dxa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Payments for investments in fixed assets in the Republic of Serbia</w:t>
            </w:r>
            <w:r>
              <w:rPr>
                <w:b w:val="1"/>
                <w:sz w:val="18"/>
              </w:rPr>
              <w:t>, by sources of financing, 2012</w:t>
            </w:r>
            <w:r>
              <w:rPr>
                <w:b w:val="1"/>
                <w:sz w:val="18"/>
              </w:rPr>
              <w:t xml:space="preserve"> </w:t>
            </w:r>
          </w:p>
          <w:p>
            <w:pPr>
              <w:tabs>
                <w:tab w:val="left" w:pos="1092" w:leader="none"/>
                <w:tab w:val="center" w:pos="2393" w:leader="none"/>
              </w:tabs>
              <w:rPr>
                <w:b w:val="1"/>
              </w:rPr>
            </w:pPr>
          </w:p>
        </w:tc>
      </w:tr>
      <w:tr>
        <w:trPr>
          <w:trHeight w:hRule="atLeast" w:val="3457"/>
        </w:trPr>
        <w:tc>
          <w:tcPr>
            <w:tcW w:w="5002" w:type="dxa"/>
          </w:tcPr>
          <w:p>
            <w:pPr>
              <w:jc w:val="center"/>
            </w:pPr>
            <w:r>
              <w:rPr>
                <w:b w:val="1"/>
              </w:rP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875915" cy="206629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066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002" w:type="dxa"/>
          </w:tcPr>
          <w:p>
            <w:pPr>
              <w:jc w:val="center"/>
            </w:pPr>
            <w: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875915" cy="206629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066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Realized investments in fixed assets</w:t>
      </w:r>
    </w:p>
    <w:p>
      <w:pPr>
        <w:rPr>
          <w:sz w:val="10"/>
        </w:rPr>
      </w:pPr>
    </w:p>
    <w:p>
      <w:pPr>
        <w:rPr>
          <w:sz w:val="18"/>
        </w:rPr>
      </w:pPr>
      <w:r>
        <w:rPr>
          <w:sz w:val="18"/>
        </w:rPr>
        <w:t>Republic of Serbia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3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Value in thous. RSD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Index                    2012/2011</w:t>
            </w:r>
          </w:p>
        </w:tc>
      </w:tr>
      <w:tr>
        <w:trPr>
          <w:wAfter w:w="0" w:type="dxa"/>
        </w:trPr>
        <w:tc>
          <w:tcPr>
            <w:tcW w:w="493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70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Realized investments in fixed assets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552 733 543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670 802 338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121.4</w:t>
            </w: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Of which: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Realized investments in new fixed assets 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493 100 031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608 508 303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123.4</w:t>
            </w:r>
          </w:p>
        </w:tc>
      </w:tr>
    </w:tbl>
    <w:p>
      <w:pPr>
        <w:pStyle w:val="P13"/>
      </w:pPr>
    </w:p>
    <w:p>
      <w:pPr>
        <w:spacing w:after="40"/>
        <w:ind w:hanging="284" w:left="284"/>
        <w:rPr>
          <w:b w:val="1"/>
        </w:rPr>
      </w:pPr>
    </w:p>
    <w:p>
      <w:pPr>
        <w:spacing w:after="40"/>
        <w:ind w:hanging="284" w:left="284"/>
        <w:rPr>
          <w:b w:val="1"/>
        </w:rPr>
      </w:pPr>
    </w:p>
    <w:p>
      <w:pPr>
        <w:spacing w:after="40"/>
        <w:ind w:hanging="284" w:left="284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>Realized investments in fixed assets, by techn</w:t>
      </w:r>
      <w:r>
        <w:rPr>
          <w:b w:val="1"/>
        </w:rPr>
        <w:t>ical structure, investor</w:t>
      </w:r>
      <w:r>
        <w:rPr>
          <w:b w:val="1"/>
        </w:rPr>
        <w:t>’s activity and head office</w:t>
      </w:r>
      <w:r>
        <w:rPr>
          <w:b w:val="1"/>
        </w:rPr>
        <w:t>, 2012</w:t>
      </w:r>
      <w:r>
        <w:rPr>
          <w:b w:val="1"/>
        </w:rPr>
        <w:t xml:space="preserve"> </w:t>
      </w:r>
    </w:p>
    <w:p>
      <w:pPr>
        <w:spacing w:after="40"/>
        <w:ind w:hanging="284" w:left="284"/>
        <w:jc w:val="right"/>
        <w:rPr>
          <w:b w:val="1"/>
        </w:rPr>
      </w:pPr>
      <w:r>
        <w:rPr>
          <w:sz w:val="16"/>
        </w:rPr>
        <w:t>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Republic of Serbia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680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670 802 338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296 519 619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158 587 186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156 205 675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59 282 793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207 065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256 448 996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119 127 300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73 557 873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40 624 262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23 105 661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33 900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366 325 924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148 503 204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72 973 744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111 546 611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33 129 200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173 165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48 027 419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28 889 116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12 055 569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4 034 802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3 047 932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22 394 606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3 183 637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16 209 737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2 535 926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465 305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8 058 971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974 828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5 507 127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1 498 841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78 174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9 704 521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1 035 504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7 627 315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822 896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218 805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4 631 115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1 173 305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3 075 294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214 189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168 326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Mining and quarrying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6 223 724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112 211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53 515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1 554 816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4 503 183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1 047 230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670 595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359 989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4 531 656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111 270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37 810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500 975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3 881 602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644 838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383 246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261 592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232 202 269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19 810 855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83 923 591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115 313 206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13 154 616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60 646 893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5 511 633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33 686 176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17 358 697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4 090 387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162 059 437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13 536 018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44 415 616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96 571 147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7 536 656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9 495 939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763 204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5 821 800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1 383 362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1 527 573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Electricity, gas, steam and air conditioning supply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60 990 502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52 869 800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5 181 222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446 439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2 493 042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11 338 850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8 712 771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1 377 536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166 587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1 081 955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45 503 659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40 391 995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3 515 842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199 545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1 396 277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4 147 994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3 765 034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287 844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80 306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Water supply; sewerage, waste management and remediation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12 928 864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4 245 980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3 739 354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1 668 796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3 274 290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6 235 039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1 486 601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2 318 089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851 477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1 578 873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6 413 036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2 739 410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1 281 119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728 729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1 663 335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140 147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88 590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Construction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44 919 477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27 211 360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9 578 428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4 290 852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3 835 328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30 315 903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18 796 494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7 231 121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1 660 221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2 628 067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11 541 115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6 093 998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2 070 358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2 273 733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1 099 518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3 062 459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2 320 868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276 949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356 899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107 743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Wholesale and retail trade; repair of motor vehicles and motorcycles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66 713 611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39 016 601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10 442 622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9 460 517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7 793 728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33 918 719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16 353 762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5 342 538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5 833 205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6 389 214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24 780 978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16 051 301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4 657 262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2 875 072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1 197 201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8 013 914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6 611 538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442 823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752 241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207 313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Transportation and storage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44 198 304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22 287 749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15 868 053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4 527 337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1 515 164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15 572 951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3 302 697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11 476 871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669 800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123 583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27 107 797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18 207 367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4 174 820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3 577 510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1 148 100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1 517 556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777 685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216 362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280 027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243 482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7 360 647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1 853 239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594 504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3 259 847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1 653 058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6 001 444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1 321 755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245 636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2 892 550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1 541 503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1 290 024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496 148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347 835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86 745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69 180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35 336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Information and communication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34 456 430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32 603 572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1 476 802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74 775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301 282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5 096 752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4 832 782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191 889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56 288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22 926 541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21 809 623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816 267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241 670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6 433 137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5 961 166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468 646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3 325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/>
    <w:p>
      <w:pPr>
        <w:spacing w:after="40"/>
        <w:ind w:hanging="284" w:left="284"/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 xml:space="preserve">Realized investments in fixed assets, by technical structure, </w:t>
      </w:r>
      <w:r>
        <w:rPr>
          <w:b w:val="1"/>
        </w:rPr>
        <w:t xml:space="preserve">investor’s </w:t>
      </w:r>
      <w:r>
        <w:rPr>
          <w:b w:val="1"/>
        </w:rPr>
        <w:t>activity and head</w:t>
      </w:r>
      <w:r>
        <w:rPr>
          <w:b w:val="1"/>
        </w:rPr>
        <w:t xml:space="preserve"> office</w:t>
      </w:r>
      <w:r>
        <w:rPr>
          <w:b w:val="1"/>
        </w:rPr>
        <w:t>, 2012</w:t>
      </w:r>
      <w:r>
        <w:rPr>
          <w:b w:val="1"/>
        </w:rPr>
        <w:t xml:space="preserve"> </w:t>
      </w:r>
      <w:r>
        <w:rPr>
          <w:sz w:val="18"/>
        </w:rPr>
        <w:t>(continued)</w:t>
      </w:r>
    </w:p>
    <w:p>
      <w:pPr>
        <w:spacing w:after="40"/>
        <w:ind w:hanging="284" w:left="284"/>
        <w:jc w:val="right"/>
      </w:pPr>
      <w:r>
        <w:rPr>
          <w:sz w:val="16"/>
        </w:rPr>
        <w:t>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Republic of Serbia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jug</w:t>
            </w:r>
          </w:p>
        </w:tc>
      </w:tr>
      <w:tr>
        <w:trPr>
          <w:wAfter w:w="0" w:type="dxa"/>
          <w:trHeight w:hRule="atLeast" w:val="725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Financial and insurance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24 875 235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10 474 722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1 225 550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659 201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12 497 328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18 434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7 278 568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3 607 418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303 573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416 892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2 935 491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15 194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13 863 419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3 886 747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274 639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178 640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9 520 153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3 240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3 733 248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2 980 557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647 338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Real estate activities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3 561 457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2 402 158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428 712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691 888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38 700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3 237 189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2 216 262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403 385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598 412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315 634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180 475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23 031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19 569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8 635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5 421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Professional, scientific and technical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23 754 857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17 441 088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2 499 829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2 970 809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843 131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18 022 928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13 923 425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1 338 535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2 163 998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596 969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4 698 953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3 026 433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771 789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674 150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226 581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1 032 976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491 230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389 504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132 661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19 581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10 439 444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9 466 601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307 853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569 319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95 671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3 029 469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2 471 638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417 161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7 313 224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6 967 591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123 666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126 842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95 124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96 751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43 901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25 316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51 854 179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43 533 278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2 503 169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4 301 289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1 498 050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18 393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37 008 037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30 455 706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1 858 936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3 767 689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912 023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13 683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10 777 638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9 698 367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514 520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321 806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238 235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4 068 504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3 379 205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129 713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211 794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347 792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Education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5 392 002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1 840 590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1 602 758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1 351 665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524 915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72 075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2 771 623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903 831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874 387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687 477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305 616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2 509 419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902 758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671 494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647 126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216 278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71 763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110 961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3 020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11 021 092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2 947 121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2 015 572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1 356 113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4 608 432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93 855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2 359 516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689 114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809 145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532 346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324 200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8 568 676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2 240 746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1 186 659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803 059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4 249 068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89 144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92 900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35 164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Arts, entertainment and recreation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6 175 373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4 211 487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754 449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1 025 536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183 688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3 613 647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2 816 577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316 921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396 425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83 724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2 052 061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942 869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405 190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613 296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90 492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509 666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452 041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15 815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9 472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1 340 264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1 007 570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181 465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147 345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3 885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895 269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749 064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120 017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26 097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368 137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184 583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58 513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121 248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76 858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73 922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  <w:color w:val="FF0000"/>
        </w:rPr>
      </w:pPr>
      <w:r>
        <w:rPr>
          <w:b w:val="1"/>
        </w:rPr>
        <w:t>3</w:t>
      </w:r>
      <w:r>
        <w:rPr>
          <w:b w:val="1"/>
        </w:rPr>
        <w:t xml:space="preserve">. </w:t>
      </w:r>
      <w:r>
        <w:rPr>
          <w:b w:val="1"/>
        </w:rPr>
        <w:t xml:space="preserve">Realized investments in new fixed assets, by technical structure, </w:t>
      </w:r>
      <w:r>
        <w:rPr>
          <w:b w:val="1"/>
        </w:rPr>
        <w:t xml:space="preserve">investor’s </w:t>
      </w:r>
      <w:r>
        <w:rPr>
          <w:b w:val="1"/>
        </w:rPr>
        <w:t>activity and head</w:t>
      </w:r>
      <w:r>
        <w:rPr>
          <w:b w:val="1"/>
        </w:rPr>
        <w:t xml:space="preserve"> office</w:t>
      </w:r>
      <w:r>
        <w:rPr>
          <w:b w:val="1"/>
        </w:rPr>
        <w:t>, 2012</w:t>
      </w:r>
      <w:r>
        <w:rPr>
          <w:b w:val="1"/>
        </w:rPr>
        <w:t xml:space="preserve"> </w:t>
      </w:r>
      <w:r>
        <w:rPr>
          <w:b w:val="1"/>
          <w:color w:val="FF0000"/>
        </w:rPr>
        <w:t xml:space="preserve"> </w:t>
      </w:r>
    </w:p>
    <w:p>
      <w:pPr>
        <w:pStyle w:val="P13"/>
        <w:spacing w:after="40"/>
        <w:ind w:hanging="284" w:left="284"/>
        <w:jc w:val="right"/>
        <w:rPr>
          <w:b w:val="1"/>
        </w:rPr>
      </w:pPr>
      <w:r>
        <w:rPr>
          <w:sz w:val="16"/>
        </w:rPr>
        <w:t>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Republic of Serbia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jug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608 508 303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267 162 447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143 041 712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144 492 407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53 604 673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207 065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231 733 703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107 755 530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67 663 137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36 671 413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19 609 722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33 900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348 270 601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143 361 340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66 654 075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105 938 736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32 143 285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173 165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28 503 999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16 045 577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8 724 500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1 882 257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1 851 665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16 748 371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3 077 275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11 917 649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1 322 693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430 754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5 344 374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966 023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3 704 251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598 475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75 625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8 181 196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1 025 534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6 427 371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530 533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197 759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3 222 801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1 085 718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1 786 027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193 685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157 370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Mining and quarrying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5 995 082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84 791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52 073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1 423 169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4 435 049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1 043 289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666 654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359 989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4 348 714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83 850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36 368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415 028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3 813 468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603 079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341 487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261 592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221 087 778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17 466 026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79 669 981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111 787 454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12 164 316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56 489 631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4 245 942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32 507 500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15 909 167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3 827 022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157 805 702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12 898 063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42 488 071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95 182 172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7 237 395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6 792 445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322 021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4 674 410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696 115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1 099 899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Electricity, gas, steam and air conditioning supply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57 648 334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49 774 130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5 174 997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422 376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2 276 832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11 149 469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8 712 771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1 376 866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151 171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908 661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45 458 832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40 391 995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3 510 287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190 898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1 365 652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1 040 033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669 364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287 844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80 306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2 519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Water supply; sewerage, waste management and remediation activities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11 612 654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4 221 484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3 501 004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1 554 816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2 334 906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5 244 077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1 486 601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2 201 942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842 251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713 284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6 158 756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2 717 501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1 166 007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682 286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1 592 518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209 822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17 382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133 056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29 105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Construction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37 145 915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22 666 391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8 442 831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2 587 049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3 446 136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29 437 205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18 671 977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6 878 066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1 470 669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2 416 494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7 508 260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3 919 008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1 546 465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1 079 738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959 541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200 450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75 405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18 301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36 643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Wholesale and retail trade; repair of motor vehicles and motorcycles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49 910 768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28 795 168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7 656 576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7 879 711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5 579 170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24 494 101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11 274 883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3 568 467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5 131 349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4 519 402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22 194 220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14 787 429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3 966 338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2 438 278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1 002 032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3 222 447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2 732 856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121 771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310 084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57 736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Transport and storage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37 833 378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21 509 512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13 540 459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1 665 534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1 117 874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14 527 893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3 292 606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10 996 576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147 915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22 695 740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17 674 979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2 483 249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1 512 797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1 024 716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609 745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541 927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60 634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4 822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7 064 690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1 695 061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572 182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3 167 296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1 630 151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5 848 925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1 217 909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245 636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2 843 877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1 541 503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1 192 824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465 216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325 514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315 418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86 676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1 972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Information and communication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34 197 686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32 394 546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1 430 152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74 369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298 619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5 039 298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4 807 949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159 268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56 288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22 838 871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21 739 051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802 238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58 575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239 007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6 319 516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5 847 545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468 646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3 325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>
      <w:pPr>
        <w:pStyle w:val="P13"/>
        <w:spacing w:after="40"/>
        <w:ind w:hanging="284" w:left="284"/>
        <w:rPr>
          <w:sz w:val="18"/>
        </w:rPr>
      </w:pPr>
      <w:r>
        <w:rPr>
          <w:b w:val="1"/>
        </w:rPr>
        <w:t>3</w:t>
      </w:r>
      <w:r>
        <w:rPr>
          <w:b w:val="1"/>
        </w:rPr>
        <w:t xml:space="preserve">. </w:t>
      </w:r>
      <w:r>
        <w:rPr>
          <w:b w:val="1"/>
        </w:rPr>
        <w:t xml:space="preserve">Realized investments in new fixed assets, by technical structure, </w:t>
      </w:r>
      <w:r>
        <w:rPr>
          <w:b w:val="1"/>
        </w:rPr>
        <w:t xml:space="preserve">investor’s </w:t>
      </w:r>
      <w:r>
        <w:rPr>
          <w:b w:val="1"/>
        </w:rPr>
        <w:t>activ</w:t>
      </w:r>
      <w:r>
        <w:rPr>
          <w:b w:val="1"/>
        </w:rPr>
        <w:t>ity and head</w:t>
      </w:r>
      <w:r>
        <w:rPr>
          <w:b w:val="1"/>
        </w:rPr>
        <w:t xml:space="preserve"> office</w:t>
      </w:r>
      <w:r>
        <w:rPr>
          <w:b w:val="1"/>
        </w:rPr>
        <w:t>, 2012</w:t>
      </w:r>
      <w:r>
        <w:rPr>
          <w:b w:val="1"/>
        </w:rPr>
        <w:t xml:space="preserve"> </w:t>
      </w:r>
      <w:r>
        <w:rPr>
          <w:sz w:val="18"/>
        </w:rPr>
        <w:t>(continued)</w:t>
      </w:r>
    </w:p>
    <w:p>
      <w:pPr>
        <w:pStyle w:val="P13"/>
        <w:spacing w:after="40"/>
        <w:ind w:hanging="284" w:left="284"/>
        <w:jc w:val="right"/>
      </w:pPr>
      <w:r>
        <w:rPr>
          <w:sz w:val="16"/>
        </w:rPr>
        <w:t>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Republic of Serbia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Srbija – jug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Region Kosovo i Metohija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Financial and i</w:t>
            </w:r>
            <w:r>
              <w:rPr>
                <w:b w:val="1"/>
                <w:sz w:val="16"/>
              </w:rPr>
              <w:t xml:space="preserve">nsurance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24 004 772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9 716 445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1 198 458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639 501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12 431 934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18 434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6 451 565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2 880 976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280 215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404 603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2 870 577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15 194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13 832 077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3 864 716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273 219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171 229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9 519 673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3 240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3 721 130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2 970 753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645 024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Real estate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3 436 350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2 362 184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428 712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623 392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22 062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3 156 507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2 203 659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403 385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530 333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271 626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153 105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23 031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8 217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5 421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Professional, scientific and technical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20 800 304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14 798 585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2 316 029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2 854 984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830 707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15 698 624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11 649 952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1 287 705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2 163 998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596 969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4 575 481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2 956 370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731 516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670 198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217 397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526 199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192 262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296 808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20 788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16 341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10 212 242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9 278 024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269 229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569 319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95 671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2 993 799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2 435 968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417 161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7 125 877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6 814 684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89 227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126 842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95 124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25 316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48 121 968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40 329 122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2 439 981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4 121 995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1 212 477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18 393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36 218 505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29 680 379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1 846 233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3 767 126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911 084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13 683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10 754 013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9 677 129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514 220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319 735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238 219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1 149 450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971 614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79 528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35 134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63 174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Education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5 052 331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1 557 469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1 586 247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1 318 789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517 752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72 075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2 489 418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643 041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864 627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679 705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301 733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2 462 704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880 427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665 319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632 197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212 999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71 763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100 209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3 020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10 891 261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2 887 016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1 983 326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1 324 825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4 602 240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93 855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2 259 774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636 158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786 051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512 050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320 804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8 549 113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2 233 597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1 177 507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800 047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4 248 818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89 144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82 374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12 727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32 618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Arts, entertainment and recreation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5 654 021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3 777 695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686 234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1 015 739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174 139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3 142 435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2 387 285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280 343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394 920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79 887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2 002 707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938 369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373 553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605 004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85 567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508 879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452 041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15 815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1 090 396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771 523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175 592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139 397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3 885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Construction works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704 813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560 509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120 017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24 195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Equipment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313 887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140 317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54 576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115 201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/>
    <w:p/>
    <w:p/>
    <w:p/>
    <w:p/>
    <w:p/>
    <w:p/>
    <w:p/>
    <w:p/>
    <w:p>
      <w:pPr>
        <w:ind w:hanging="227" w:left="227"/>
        <w:rPr>
          <w:b w:val="1"/>
          <w:color w:val="FF0000"/>
        </w:rPr>
      </w:pPr>
      <w:r>
        <w:rPr>
          <w:b w:val="1"/>
        </w:rPr>
        <w:t>4</w:t>
      </w:r>
      <w:r>
        <w:rPr>
          <w:b w:val="1"/>
        </w:rPr>
        <w:t xml:space="preserve">. </w:t>
      </w:r>
      <w:r>
        <w:rPr>
          <w:b w:val="1"/>
        </w:rPr>
        <w:t>Payments for</w:t>
      </w:r>
      <w:r>
        <w:rPr>
          <w:b w:val="1"/>
        </w:rPr>
        <w:t xml:space="preserve"> </w:t>
      </w:r>
      <w:r>
        <w:rPr>
          <w:b w:val="1"/>
        </w:rPr>
        <w:t>investments in fixed asset</w:t>
      </w:r>
      <w:r>
        <w:rPr>
          <w:b w:val="1"/>
        </w:rPr>
        <w:t>s, by sources of financing, 2012</w:t>
      </w:r>
      <w:r>
        <w:rPr>
          <w:b w:val="1"/>
        </w:rPr>
        <w:t xml:space="preserve"> </w:t>
      </w:r>
    </w:p>
    <w:p>
      <w:pPr>
        <w:ind w:hanging="227" w:left="227"/>
        <w:rPr>
          <w:b w:val="1"/>
          <w:sz w:val="10"/>
        </w:rPr>
      </w:pPr>
    </w:p>
    <w:p>
      <w:pPr>
        <w:ind w:hanging="227" w:left="227"/>
        <w:rPr>
          <w:sz w:val="16"/>
        </w:rPr>
      </w:pPr>
      <w:r>
        <w:rPr>
          <w:sz w:val="18"/>
        </w:rPr>
        <w:t xml:space="preserve">Republic of Serbia                                                                                                                                                            </w:t>
      </w:r>
      <w:r>
        <w:rPr>
          <w:sz w:val="16"/>
        </w:rPr>
        <w:t>thous. RSD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523"/>
        </w:trPr>
        <w:tc>
          <w:tcPr>
            <w:tcW w:w="449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52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Sorces of financing </w:t>
            </w:r>
          </w:p>
        </w:tc>
      </w:tr>
      <w:tr>
        <w:trPr>
          <w:trHeight w:hRule="atLeast" w:val="793"/>
        </w:trPr>
        <w:tc>
          <w:tcPr>
            <w:tcW w:w="449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Own  resources</w:t>
            </w:r>
          </w:p>
        </w:tc>
        <w:tc>
          <w:tcPr>
            <w:tcW w:w="11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Pooled resources</w:t>
            </w:r>
          </w:p>
        </w:tc>
        <w:tc>
          <w:tcPr>
            <w:tcW w:w="11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Financial credits</w:t>
            </w:r>
          </w:p>
        </w:tc>
        <w:tc>
          <w:tcPr>
            <w:tcW w:w="11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 funds</w:t>
            </w:r>
          </w:p>
        </w:tc>
      </w:tr>
      <w:tr>
        <w:tc>
          <w:tcPr>
            <w:tcW w:w="449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caps w:val="1"/>
                <w:sz w:val="16"/>
              </w:rPr>
            </w:pPr>
            <w:r>
              <w:rPr>
                <w:b w:val="1"/>
                <w:caps w:val="1"/>
                <w:sz w:val="16"/>
              </w:rPr>
              <w:t>TOTAL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564 802 666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383 933 973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9 370 614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112 204 020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59 294 058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32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0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1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1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Agriculture, forestry and fishing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20 872 513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15 301 103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33 771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5 236 275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301 364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Mining and quarrying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4 977 751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4 823 516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3 818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150 416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Manufacturing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162 542 983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126 443 795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1 345 524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29 467 201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5 286 463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Electricity, gas, steam and air conditioning supply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53 915 705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45 194 233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1 807 340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5 994 448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919 684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Water supply; sewerage, waste management and remediation activities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11 405 291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7 525 477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151 021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1 014 136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2 714 657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43 326 116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19 602 580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127 787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15 130 266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8 465 484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Wholesale and retail trade; repair of motor vehicles and motorcycles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62 078 694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51 835 445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164 906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10 036 947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41 396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Transport and storage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32 927 583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25 925 665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395 971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5 483 671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1 122 276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Accommodation and food service activities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7 431 435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6 057 466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270 273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670 887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432 808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Information and communication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36 058 230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25 436 658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10 050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10 562 204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49 318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Financial and insurance activities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24 160 466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11 254 929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4 557 429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8 079 743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268 365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Real estate activities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3 246 501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2 101 316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699 557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445 628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Professional, scientific and technical activities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19 585 400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6 874 909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222 051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420 405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12 068 036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Administrative and support service activities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10 749 836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7 783 895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746 384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2 219 557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Public administration and defence; compulsory social security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48 691 837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15 413 671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49 199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17 614 481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15 614 486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Education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5 309 527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2 909 770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149 044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460 142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1 790 571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Human health and social work activities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10 851 741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5 300 025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68 282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104 122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5 379 312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Arts, entertainment and recreation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5 369 087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3 055 197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5 605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264 370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2 043 915</w:t>
            </w:r>
          </w:p>
        </w:tc>
      </w:tr>
      <w:tr>
        <w:tc>
          <w:tcPr>
            <w:tcW w:w="449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Other service activities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1 301 972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1 094 324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8 544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68 365</w:t>
            </w:r>
          </w:p>
        </w:tc>
        <w:tc>
          <w:tcPr>
            <w:tcW w:w="1131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130 739</w:t>
            </w:r>
          </w:p>
        </w:tc>
      </w:tr>
    </w:tbl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left="397"/>
      </w:pPr>
    </w:p>
    <w:p>
      <w:pPr>
        <w:ind w:left="397"/>
      </w:pPr>
    </w:p>
    <w:p>
      <w:pPr>
        <w:ind w:left="397"/>
      </w:pPr>
    </w:p>
    <w:p>
      <w:pPr>
        <w:ind w:left="397"/>
      </w:pPr>
      <w:r>
        <w:t xml:space="preserve">Methodological explanations for </w:t>
      </w:r>
      <w:r>
        <w:rPr>
          <w:sz w:val="19"/>
        </w:rPr>
        <w:t>the survey “</w:t>
      </w:r>
      <w:r>
        <w:t>Investments In Fixed Assets“</w:t>
      </w:r>
      <w:r>
        <w:rPr>
          <w:sz w:val="19"/>
        </w:rPr>
        <w:t xml:space="preserve"> (INV-01) could be found on the SORS website</w:t>
      </w:r>
      <w:r>
        <w:rPr>
          <w:rFonts w:ascii="ArialMT" w:hAnsi="ArialMT"/>
        </w:rPr>
        <w:t xml:space="preserve"> </w:t>
      </w:r>
      <w:r>
        <w:rPr>
          <w:sz w:val="19"/>
        </w:rPr>
        <w:t xml:space="preserve">:  </w:t>
      </w:r>
    </w:p>
    <w:p>
      <w:pPr>
        <w:ind w:left="397"/>
        <w:rPr>
          <w:sz w:val="19"/>
        </w:rPr>
      </w:pPr>
      <w:r>
        <w:fldChar w:fldCharType="begin"/>
      </w:r>
      <w:r>
        <w:rPr>
          <w:sz w:val="19"/>
        </w:rPr>
        <w:instrText xml:space="preserve"> HYPERLINK "http://webrzs.stat.gov.rs/WebSite/userFiles/file/Nacionalni/Metodologije/SMET004050C.pdf" </w:instrText>
      </w:r>
      <w:r>
        <w:rPr>
          <w:sz w:val="19"/>
        </w:rPr>
        <w:fldChar w:fldCharType="separate"/>
      </w:r>
      <w:r>
        <w:rPr>
          <w:rStyle w:val="C2"/>
          <w:sz w:val="19"/>
        </w:rPr>
        <w:t>http://webrzs.stat.gov.rs/WebSite/userFiles/file/Nacionalni/Metodologije/SMET004050C.pdf</w:t>
      </w:r>
      <w:r>
        <w:rPr>
          <w:rStyle w:val="C2"/>
          <w:sz w:val="19"/>
        </w:rPr>
        <w:fldChar w:fldCharType="end"/>
      </w: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  <w:r>
        <w:rPr>
          <w:sz w:val="19"/>
        </w:rPr>
        <w:t>Time series on investments in fixed assets are available at the SORS site, in Database</w:t>
      </w: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trHeight w:hRule="atLeast" w:val="1222"/>
        </w:trPr>
        <w:tc>
          <w:tcPr>
            <w:tcW w:w="927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"mailto:jelena.jakovljevic@stat.gov.rs"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jelena.jakovljevic@stat.gov.rs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 xml:space="preserve">    Phone: +381 11 2412922 ext 239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Published and printed: Statistical Office of the Republic of Serbia, Milana Rakica 5, Belgrade </w:t>
              <w:br w:type="textWrapping"/>
              <w:t xml:space="preserve"> Phone: 2412-922 (operator) ● Fax: 2411- 260 ● www.stat.gov.rs </w:t>
              <w:br w:type="textWrapping"/>
              <w:t xml:space="preserve"> Responsible: Dragan Vukmirovic, PhD, Director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sz w:val="18"/>
              </w:rPr>
              <w:t>Circulation: 20 ● Issued annually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4"/>
              </w:rPr>
            </w:pPr>
          </w:p>
        </w:tc>
      </w:tr>
    </w:tbl>
    <w:p>
      <w:pPr>
        <w:ind w:left="397"/>
        <w:rPr>
          <w:sz w:val="19"/>
        </w:rPr>
      </w:pPr>
      <w:r>
        <w:rPr>
          <w:i w:val="1"/>
          <w:sz w:val="4"/>
        </w:rPr>
        <w:fldChar w:fldCharType="begin"/>
      </w:r>
      <w:r>
        <w:rPr>
          <w:sz w:val="19"/>
          <w:u w:val="single"/>
        </w:rPr>
        <w:instrText xml:space="preserve"> HYPERLINK "http://webrzs.stat.gov.rs/WebSite/public/ReportView.aspx" </w:instrText>
      </w:r>
      <w:r>
        <w:rPr>
          <w:sz w:val="19"/>
          <w:u w:val="single"/>
        </w:rPr>
        <w:fldChar w:fldCharType="separate"/>
      </w:r>
      <w:r>
        <w:rPr>
          <w:rStyle w:val="C2"/>
          <w:sz w:val="19"/>
        </w:rPr>
        <w:t>http://webrzs.stat.gov.rs/WebSite</w:t>
      </w:r>
      <w:bookmarkStart w:id="0" w:name="_Hlt371665897"/>
      <w:r>
        <w:rPr>
          <w:rStyle w:val="C2"/>
          <w:sz w:val="19"/>
        </w:rPr>
        <w:t>/</w:t>
      </w:r>
      <w:bookmarkEnd w:id="0"/>
      <w:r>
        <w:rPr>
          <w:rStyle w:val="C2"/>
          <w:sz w:val="19"/>
        </w:rPr>
        <w:t>public/ReportView.aspx</w:t>
      </w:r>
      <w:r>
        <w:rPr>
          <w:rStyle w:val="C2"/>
          <w:sz w:val="19"/>
        </w:rPr>
        <w:fldChar w:fldCharType="end"/>
      </w:r>
      <w:r>
        <w:rPr>
          <w:sz w:val="19"/>
        </w:rPr>
        <w:t>.</w:t>
      </w:r>
    </w:p>
    <w:p>
      <w:pPr>
        <w:rPr>
          <w:sz w:val="2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907" w:right="907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5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SRB 314 NR21 201113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SRB 314 NR21 201113</w:t>
          </w:r>
        </w:p>
      </w:tc>
    </w:tr>
  </w:tbl>
  <w:p>
    <w:pPr>
      <w:rPr>
        <w:sz w:val="2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708DFFC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158FF4D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249BEF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C4E1F7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EE4CD8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2FD1587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66797F31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A0A744E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688D24C5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22F456C9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757B30E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4BCFA3BA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7497B832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8AE91AF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135095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220C72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202E00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C4814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E9841E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23CF5C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727C0D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16E1679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88F37F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37E4B0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6013AC2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EC8AB3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376BB0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F53955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69EAE3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2A1DAC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6E057F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1E44B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1 Char"/>
    <w:basedOn w:val="P0"/>
    <w:next w:val="P36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37">
    <w:name w:val="Car Car"/>
    <w:basedOn w:val="P0"/>
    <w:next w:val="P37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pPr>
      <w:ind w:firstLine="210"/>
    </w:pPr>
    <w:rPr/>
  </w:style>
  <w:style w:type="paragraph" w:styleId="P40">
    <w:name w:val="Body Text First Indent 2"/>
    <w:basedOn w:val="P15"/>
    <w:next w:val="P40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style-span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2013-11-08T11:29:00Z</dcterms:created>
  <cp:lastModifiedBy>Nikola Kapetanovic</cp:lastModifiedBy>
  <cp:lastPrinted>2013-11-22T09:19:00Z</cp:lastPrinted>
  <dcterms:modified xsi:type="dcterms:W3CDTF">2020-01-10T11:42:39Z</dcterms:modified>
  <cp:revision>69</cp:revision>
  <dc:title>                  </dc:title>
</cp:coreProperties>
</file>