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CDC0E61" Type="http://schemas.openxmlformats.org/officeDocument/2006/relationships/officeDocument" Target="/word/document.xml" /><Relationship Id="coreR5CDC0E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0"/>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0"/>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0"/>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0"/>
                <w:color w:val="808080"/>
                <w:sz w:val="12"/>
              </w:rPr>
            </w:pPr>
            <w:r>
              <w:rPr>
                <w:rFonts w:ascii="Arial" w:hAnsi="Arial"/>
                <w:b w:val="1"/>
                <w:color w:val="808080"/>
                <w:sz w:val="48"/>
              </w:rPr>
              <w:t>GR</w:t>
            </w:r>
            <w:r>
              <w:rPr>
                <w:rFonts w:ascii="Arial" w:hAnsi="Arial"/>
                <w:b w:val="1"/>
                <w:color w:val="808080"/>
                <w:sz w:val="48"/>
              </w:rPr>
              <w:t>11</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229 – Year LXIII, 15/08/2013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0"/>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0"/>
              </w:rPr>
            </w:pPr>
            <w:r>
              <w:rPr>
                <w:rFonts w:ascii="Arial" w:hAnsi="Arial"/>
                <w:b w:val="1"/>
              </w:rPr>
              <w:t>Construction Statistics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0"/>
              </w:rPr>
            </w:pPr>
            <w:r>
              <w:rPr>
                <w:b w:val="0"/>
                <w:sz w:val="20"/>
              </w:rPr>
              <w:t>SERB</w:t>
            </w:r>
            <w:r>
              <w:rPr>
                <w:b w:val="0"/>
                <w:sz w:val="20"/>
              </w:rPr>
              <w:t>229</w:t>
            </w:r>
            <w:r>
              <w:rPr>
                <w:b w:val="0"/>
                <w:sz w:val="20"/>
              </w:rPr>
              <w:t xml:space="preserve"> GR</w:t>
            </w:r>
            <w:r>
              <w:rPr>
                <w:b w:val="0"/>
                <w:sz w:val="20"/>
              </w:rPr>
              <w:t>11</w:t>
            </w:r>
            <w:r>
              <w:rPr>
                <w:b w:val="0"/>
                <w:sz w:val="20"/>
              </w:rPr>
              <w:t xml:space="preserve"> </w:t>
            </w:r>
            <w:r>
              <w:rPr>
                <w:b w:val="0"/>
                <w:sz w:val="20"/>
              </w:rPr>
              <w:t>150</w:t>
            </w:r>
            <w:r>
              <w:rPr>
                <w:b w:val="0"/>
                <w:sz w:val="20"/>
              </w:rPr>
              <w:t>8</w:t>
            </w:r>
            <w:r>
              <w:rPr>
                <w:b w:val="0"/>
                <w:sz w:val="20"/>
              </w:rPr>
              <w:t>13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1"/>
              <w:jc w:val="center"/>
              <w:rPr>
                <w:b w:val="0"/>
                <w:color w:val="808080"/>
              </w:rPr>
            </w:pP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rPr>
                <w:b w:val="0"/>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0"/>
                <w:color w:val="808080"/>
              </w:rPr>
            </w:pPr>
          </w:p>
        </w:tc>
      </w:tr>
    </w:tbl>
    <w:p>
      <w:pPr>
        <w:jc w:val="center"/>
        <w:rPr>
          <w:rFonts w:ascii="Arial" w:hAnsi="Arial"/>
          <w:b w:val="0"/>
          <w:sz w:val="20"/>
        </w:rPr>
      </w:pPr>
    </w:p>
    <w:p>
      <w:pPr>
        <w:spacing w:before="120" w:after="120"/>
        <w:ind w:firstLine="397"/>
        <w:jc w:val="both"/>
        <w:rPr>
          <w:rFonts w:ascii="Arial" w:hAnsi="Arial"/>
          <w:sz w:val="20"/>
        </w:rPr>
      </w:pPr>
    </w:p>
    <w:p>
      <w:pPr>
        <w:spacing w:before="600"/>
        <w:jc w:val="center"/>
        <w:rPr>
          <w:rFonts w:ascii="Arial" w:hAnsi="Arial"/>
          <w:b w:val="0"/>
        </w:rPr>
      </w:pPr>
      <w:r>
        <w:rPr>
          <w:rFonts w:ascii="Arial" w:hAnsi="Arial"/>
          <w:b w:val="1"/>
        </w:rPr>
        <w:t>Construction activity,</w:t>
      </w:r>
      <w:r>
        <w:rPr>
          <w:rFonts w:ascii="Arial" w:hAnsi="Arial"/>
          <w:u w:val="single"/>
        </w:rPr>
        <w:t xml:space="preserve"> </w:t>
      </w:r>
    </w:p>
    <w:p>
      <w:pPr>
        <w:jc w:val="center"/>
        <w:rPr>
          <w:rFonts w:ascii="Arial" w:hAnsi="Arial"/>
          <w:b w:val="0"/>
        </w:rPr>
      </w:pPr>
      <w:r>
        <w:rPr>
          <w:rFonts w:ascii="Arial" w:hAnsi="Arial"/>
          <w:b w:val="1"/>
        </w:rPr>
        <w:t>I</w:t>
      </w:r>
      <w:r>
        <w:rPr>
          <w:rFonts w:ascii="Arial" w:hAnsi="Arial"/>
          <w:b w:val="1"/>
        </w:rPr>
        <w:t>I</w:t>
      </w:r>
      <w:r>
        <w:rPr>
          <w:rFonts w:ascii="Arial" w:hAnsi="Arial"/>
          <w:b w:val="1"/>
        </w:rPr>
        <w:t xml:space="preserve"> quarter of 201</w:t>
      </w:r>
      <w:r>
        <w:rPr>
          <w:rFonts w:ascii="Arial" w:hAnsi="Arial"/>
          <w:b w:val="1"/>
        </w:rPr>
        <w:t>3</w:t>
      </w:r>
    </w:p>
    <w:p>
      <w:pPr>
        <w:spacing w:before="240" w:after="120"/>
        <w:jc w:val="center"/>
        <w:rPr>
          <w:rFonts w:ascii="Arial" w:hAnsi="Arial"/>
          <w:b w:val="0"/>
          <w:sz w:val="22"/>
        </w:rPr>
      </w:pPr>
      <w:r>
        <w:rPr>
          <w:rFonts w:ascii="Arial" w:hAnsi="Arial"/>
          <w:b w:val="1"/>
          <w:sz w:val="22"/>
        </w:rPr>
        <w:t>– Preliminary results –</w:t>
      </w:r>
    </w:p>
    <w:p>
      <w:pPr>
        <w:jc w:val="center"/>
        <w:rPr>
          <w:rFonts w:ascii="Arial" w:hAnsi="Arial"/>
        </w:rPr>
      </w:pPr>
    </w:p>
    <w:p>
      <w:pPr>
        <w:spacing w:before="120" w:after="120"/>
        <w:ind w:firstLine="397"/>
        <w:jc w:val="both"/>
        <w:rPr>
          <w:rFonts w:ascii="Arial" w:hAnsi="Arial"/>
          <w:color w:val="FF0000"/>
          <w:sz w:val="20"/>
        </w:rPr>
      </w:pPr>
    </w:p>
    <w:p>
      <w:pPr>
        <w:spacing w:before="120" w:after="120"/>
        <w:ind w:firstLine="397"/>
        <w:jc w:val="both"/>
        <w:rPr>
          <w:rFonts w:ascii="Arial" w:hAnsi="Arial"/>
          <w:sz w:val="20"/>
        </w:rPr>
      </w:pPr>
      <w:r>
        <w:rPr>
          <w:rFonts w:ascii="Arial" w:hAnsi="Arial"/>
          <w:sz w:val="20"/>
        </w:rPr>
        <w:t xml:space="preserve">According to the data collected in the second quarter of 2013, the value of construction works done by the contractors from the Republic of Serbia decreased by 44.0% at current prices, relative to the second quarter of 2012, while at constant prices, the decrease amounted to 45.7%. </w:t>
      </w:r>
    </w:p>
    <w:p>
      <w:pPr>
        <w:spacing w:before="120" w:after="120"/>
        <w:ind w:firstLine="397"/>
        <w:jc w:val="both"/>
        <w:rPr>
          <w:rFonts w:ascii="Arial" w:hAnsi="Arial"/>
          <w:sz w:val="20"/>
        </w:rPr>
      </w:pPr>
      <w:r>
        <w:rPr>
          <w:rFonts w:ascii="Arial" w:hAnsi="Arial"/>
          <w:sz w:val="20"/>
        </w:rPr>
        <w:t xml:space="preserve">Value of works done on the territory of the Republic of Serbia amounted to 86.8% out of the total value of works done in the second quarter of 2013 and concerning abroad, it amounted to 13.2%. </w:t>
      </w:r>
    </w:p>
    <w:p>
      <w:pPr>
        <w:spacing w:before="120" w:after="120"/>
        <w:ind w:firstLine="397"/>
        <w:jc w:val="both"/>
        <w:rPr>
          <w:rFonts w:ascii="Arial" w:hAnsi="Arial"/>
          <w:sz w:val="20"/>
        </w:rPr>
      </w:pPr>
      <w:r>
        <w:rPr>
          <w:rFonts w:ascii="Arial" w:hAnsi="Arial"/>
          <w:sz w:val="20"/>
        </w:rPr>
        <w:t xml:space="preserve">Observed by areas, the greatest construction activity was performed by the contractors from Beogradska oblast, 53.3% of the total value of works done, followed by the contractors from Južnobačka oblast (8.1%) and Raska oblast (3.7%), while the shares of other areas fluctuated between 0.2% and 3.6%. </w:t>
      </w:r>
    </w:p>
    <w:p>
      <w:pPr>
        <w:spacing w:before="120" w:after="120"/>
        <w:ind w:firstLine="397"/>
        <w:jc w:val="both"/>
        <w:rPr>
          <w:rFonts w:ascii="Arial" w:hAnsi="Arial"/>
          <w:sz w:val="20"/>
        </w:rPr>
      </w:pPr>
      <w:r>
        <w:rPr>
          <w:rFonts w:ascii="Arial" w:hAnsi="Arial"/>
          <w:sz w:val="20"/>
        </w:rPr>
        <w:t xml:space="preserve">Value of contracted works related to the contractors from the Republic of Serbia in the second quarter of 2013 decreased by 11.3% compared to the same period of 2012. </w:t>
      </w:r>
    </w:p>
    <w:p>
      <w:pPr>
        <w:ind w:firstLine="720"/>
        <w:jc w:val="both"/>
        <w:rPr>
          <w:b w:val="0"/>
          <w:sz w:val="18"/>
        </w:rPr>
      </w:pPr>
    </w:p>
    <w:p>
      <w:pPr>
        <w:ind w:left="360"/>
        <w:jc w:val="center"/>
        <w:rPr>
          <w:rFonts w:ascii="Arial" w:hAnsi="Arial"/>
          <w:b w:val="0"/>
          <w:color w:val="000000"/>
          <w:sz w:val="20"/>
        </w:rPr>
      </w:pPr>
    </w:p>
    <w:p>
      <w:pPr>
        <w:ind w:left="360"/>
        <w:jc w:val="center"/>
        <w:rPr>
          <w:rFonts w:ascii="Arial" w:hAnsi="Arial"/>
          <w:b w:val="0"/>
          <w:color w:val="000000"/>
          <w:sz w:val="20"/>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3604260</wp:posOffset>
                </wp:positionH>
                <wp:positionV relativeFrom="paragraph">
                  <wp:posOffset>2629535</wp:posOffset>
                </wp:positionV>
                <wp:extent cx="1911985" cy="121920"/>
                <wp:wrapNone/>
                <wp:docPr id="2" name="Text Box 2"/>
                <a:graphic xmlns:a="http://schemas.openxmlformats.org/drawingml/2006/main">
                  <a:graphicData uri="http://schemas.microsoft.com/office/word/2010/wordprocessingShape">
                    <wps:wsp>
                      <wps:cNvSpPr/>
                      <wps:spPr>
                        <a:xfrm>
                          <a:off x="0" y="0"/>
                          <a:ext cx="1911985" cy="121920"/>
                        </a:xfrm>
                        <a:prstGeom prst="rect"/>
                        <a:solidFill>
                          <a:srgbClr val="FFFFFF"/>
                        </a:solidFill>
                      </wps:spPr>
                      <wps:txbx>
                        <w:txbxContent>
                          <w:p>
                            <w:pPr>
                              <w:rPr>
                                <w:sz w:val="16"/>
                              </w:rPr>
                            </w:pPr>
                            <w:r>
                              <w:rPr>
                                <w:rFonts w:ascii="Arial" w:hAnsi="Arial"/>
                                <w:color w:val="000000"/>
                                <w:sz w:val="16"/>
                              </w:rPr>
                              <w:t>Related to civil engineering</w:t>
                            </w:r>
                          </w:p>
                          <w:p/>
                        </w:txbxContent>
                      </wps:txbx>
                      <wps:bodyPr lIns="0" tIns="0" rIns="0" bIns="0"/>
                    </wps:wsp>
                  </a:graphicData>
                </a:graphic>
              </wp:anchor>
            </w:drawing>
          </mc:Choice>
          <mc:Fallback>
            <w:pict>
              <v:shapetype id="3" path="m,l,21600r21600,l21600,xe"/>
              <v:shape xmlns:o="urn:schemas-microsoft-com:office:office" type="#3" id="Text Box 2" style="position:absolute;width:150.55pt;height:9.6pt;z-index:1;mso-wrap-distance-left:9pt;mso-wrap-distance-top:0pt;mso-wrap-distance-right:9pt;mso-wrap-distance-bottom:0pt;margin-left:283.8pt;margin-top:207.05pt;mso-position-horizontal:absolute;mso-position-horizontal-relative:text;mso-position-vertical:absolute;mso-position-vertical-relative:text" fillcolor="#FFFFFF" stroked="f" o:allowincell="t">
                <v:textbox inset="0mm,0mm,0mm,0mm">
                  <w:txbxContent>
                    <w:p>
                      <w:pPr>
                        <w:rPr>
                          <w:sz w:val="16"/>
                        </w:rPr>
                      </w:pPr>
                      <w:r>
                        <w:rPr>
                          <w:rFonts w:ascii="Arial" w:hAnsi="Arial"/>
                          <w:color w:val="000000"/>
                          <w:sz w:val="16"/>
                        </w:rPr>
                        <w:t>Related to civil engineering</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1524000</wp:posOffset>
                </wp:positionH>
                <wp:positionV relativeFrom="paragraph">
                  <wp:posOffset>2620010</wp:posOffset>
                </wp:positionV>
                <wp:extent cx="1276350" cy="133350"/>
                <wp:wrapNone/>
                <wp:docPr id="4" name="Text Box 4"/>
                <a:graphic xmlns:a="http://schemas.openxmlformats.org/drawingml/2006/main">
                  <a:graphicData uri="http://schemas.microsoft.com/office/word/2010/wordprocessingShape">
                    <wps:wsp>
                      <wps:cNvSpPr/>
                      <wps:spPr>
                        <a:xfrm>
                          <a:off x="0" y="0"/>
                          <a:ext cx="1276350" cy="133350"/>
                        </a:xfrm>
                        <a:prstGeom prst="rect"/>
                        <a:solidFill>
                          <a:srgbClr val="FFFFFF"/>
                        </a:solidFill>
                      </wps:spPr>
                      <wps:txbx>
                        <w:txbxContent>
                          <w:p>
                            <w:pPr>
                              <w:rPr>
                                <w:sz w:val="16"/>
                              </w:rPr>
                            </w:pPr>
                            <w:r>
                              <w:rPr>
                                <w:rFonts w:ascii="Arial" w:hAnsi="Arial"/>
                                <w:color w:val="000000"/>
                                <w:sz w:val="16"/>
                              </w:rPr>
                              <w:t>Buildings related</w:t>
                            </w:r>
                          </w:p>
                          <w:p/>
                        </w:txbxContent>
                      </wps:txbx>
                      <wps:bodyPr lIns="0" tIns="0" rIns="0" bIns="0"/>
                    </wps:wsp>
                  </a:graphicData>
                </a:graphic>
              </wp:anchor>
            </w:drawing>
          </mc:Choice>
          <mc:Fallback>
            <w:pict>
              <v:shapetype id="5" path="m,l,21600r21600,l21600,xe"/>
              <v:shape xmlns:o="urn:schemas-microsoft-com:office:office" type="#5" id="Text Box 4" style="position:absolute;width:100.5pt;height:10.5pt;z-index:2;mso-wrap-distance-left:9pt;mso-wrap-distance-top:0pt;mso-wrap-distance-right:9pt;mso-wrap-distance-bottom:0pt;margin-left:120pt;margin-top:206.3pt;mso-position-horizontal:absolute;mso-position-horizontal-relative:text;mso-position-vertical:absolute;mso-position-vertical-relative:text" fillcolor="#FFFFFF" stroked="f" o:allowincell="t">
                <v:textbox inset="0mm,0mm,0mm,0mm">
                  <w:txbxContent>
                    <w:p>
                      <w:pPr>
                        <w:rPr>
                          <w:sz w:val="16"/>
                        </w:rPr>
                      </w:pPr>
                      <w:r>
                        <w:rPr>
                          <w:rFonts w:ascii="Arial" w:hAnsi="Arial"/>
                          <w:color w:val="000000"/>
                          <w:sz w:val="16"/>
                        </w:rPr>
                        <w:t>Buildings related</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1005840</wp:posOffset>
                </wp:positionH>
                <wp:positionV relativeFrom="paragraph">
                  <wp:posOffset>76835</wp:posOffset>
                </wp:positionV>
                <wp:extent cx="4615815" cy="445770"/>
                <wp:wrapNone/>
                <wp:docPr id="6" name="Text Box 6"/>
                <a:graphic xmlns:a="http://schemas.openxmlformats.org/drawingml/2006/main">
                  <a:graphicData uri="http://schemas.microsoft.com/office/word/2010/wordprocessingShape">
                    <wps:wsp>
                      <wps:cNvSpPr/>
                      <wps:spPr>
                        <a:xfrm>
                          <a:off x="0" y="0"/>
                          <a:ext cx="4615815" cy="445770"/>
                        </a:xfrm>
                        <a:prstGeom prst="rect"/>
                        <a:solidFill>
                          <a:srgbClr val="FFFFFF"/>
                        </a:solidFill>
                      </wps:spPr>
                      <wps:txbx>
                        <w:txbxContent>
                          <w:p>
                            <w:pPr>
                              <w:jc w:val="center"/>
                              <w:rPr>
                                <w:rFonts w:ascii="Arial" w:hAnsi="Arial"/>
                                <w:b w:val="0"/>
                                <w:sz w:val="18"/>
                              </w:rPr>
                            </w:pPr>
                            <w:r>
                              <w:rPr>
                                <w:rFonts w:ascii="Arial" w:hAnsi="Arial"/>
                                <w:b w:val="1"/>
                                <w:sz w:val="18"/>
                              </w:rPr>
                              <w:t>V</w:t>
                            </w:r>
                            <w:r>
                              <w:rPr>
                                <w:rFonts w:ascii="Arial" w:hAnsi="Arial"/>
                                <w:b w:val="1"/>
                                <w:sz w:val="18"/>
                              </w:rPr>
                              <w:t>ALUE INDICES OF WORKS DONE BY THE CONTRACTOR</w:t>
                            </w:r>
                            <w:r>
                              <w:rPr>
                                <w:rFonts w:ascii="Arial" w:hAnsi="Arial"/>
                                <w:b w:val="1"/>
                                <w:sz w:val="18"/>
                              </w:rPr>
                              <w:t>S FROM</w:t>
                            </w:r>
                          </w:p>
                          <w:p>
                            <w:pPr>
                              <w:pStyle w:val="P8"/>
                              <w:rPr>
                                <w:sz w:val="18"/>
                              </w:rPr>
                            </w:pPr>
                            <w:r>
                              <w:rPr>
                                <w:sz w:val="18"/>
                              </w:rPr>
                              <w:t>THE REPUBLIC OF SERBIA</w:t>
                            </w:r>
                          </w:p>
                          <w:p/>
                        </w:txbxContent>
                      </wps:txbx>
                      <wps:bodyPr>
                        <a:noAutofit/>
                      </wps:bodyPr>
                    </wps:wsp>
                  </a:graphicData>
                </a:graphic>
              </wp:anchor>
            </w:drawing>
          </mc:Choice>
          <mc:Fallback>
            <w:pict>
              <v:shapetype id="7" path="m,l,21600r21600,l21600,xe"/>
              <v:shape xmlns:o="urn:schemas-microsoft-com:office:office" type="#7" id="Text Box 6" style="position:absolute;width:363.45pt;height:35.1pt;z-index:3;mso-wrap-distance-left:9pt;mso-wrap-distance-top:0pt;mso-wrap-distance-right:9pt;mso-wrap-distance-bottom:0pt;margin-left:79.2pt;margin-top:6.05pt;mso-position-horizontal:absolute;mso-position-horizontal-relative:text;mso-position-vertical:absolute;mso-position-vertical-relative:text" fillcolor="#FFFFFF" stroked="f" o:allowincell="t">
                <v:textbox style="mso-fit-shape-to-text:f">
                  <w:txbxContent>
                    <w:p>
                      <w:pPr>
                        <w:jc w:val="center"/>
                        <w:rPr>
                          <w:rFonts w:ascii="Arial" w:hAnsi="Arial"/>
                          <w:b w:val="0"/>
                          <w:sz w:val="18"/>
                        </w:rPr>
                      </w:pPr>
                      <w:r>
                        <w:rPr>
                          <w:rFonts w:ascii="Arial" w:hAnsi="Arial"/>
                          <w:b w:val="1"/>
                          <w:sz w:val="18"/>
                        </w:rPr>
                        <w:t>V</w:t>
                      </w:r>
                      <w:r>
                        <w:rPr>
                          <w:rFonts w:ascii="Arial" w:hAnsi="Arial"/>
                          <w:b w:val="1"/>
                          <w:sz w:val="18"/>
                        </w:rPr>
                        <w:t>ALUE INDICES OF WORKS DONE BY THE CONTRACTOR</w:t>
                      </w:r>
                      <w:r>
                        <w:rPr>
                          <w:rFonts w:ascii="Arial" w:hAnsi="Arial"/>
                          <w:b w:val="1"/>
                          <w:sz w:val="18"/>
                        </w:rPr>
                        <w:t>S FROM</w:t>
                      </w:r>
                    </w:p>
                    <w:p>
                      <w:pPr>
                        <w:pStyle w:val="P8"/>
                        <w:rPr>
                          <w:sz w:val="18"/>
                        </w:rPr>
                      </w:pPr>
                      <w:r>
                        <w:rPr>
                          <w:sz w:val="18"/>
                        </w:rPr>
                        <w:t>THE REPUBLIC OF SERBIA</w:t>
                      </w:r>
                    </w:p>
                    <w:p/>
                  </w:txbxContent>
                </v:textbox>
              </v:shape>
            </w:pict>
          </mc:Fallback>
        </mc:AlternateContent>
      </w:r>
      <w:r>
        <w:drawing>
          <wp:inline xmlns:wp="http://schemas.openxmlformats.org/drawingml/2006/wordprocessingDrawing">
            <wp:extent cx="6143625" cy="292798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2"/>
                    <a:stretch>
                      <a:fillRect/>
                    </a:stretch>
                  </pic:blipFill>
                  <pic:spPr>
                    <a:xfrm>
                      <a:off x="0" y="0"/>
                      <a:ext cx="6143625" cy="2927985"/>
                    </a:xfrm>
                    <a:prstGeom prst="rect"/>
                    <a:noFill/>
                  </pic:spPr>
                </pic:pic>
              </a:graphicData>
            </a:graphic>
          </wp:inline>
        </w:drawing>
      </w:r>
    </w:p>
    <w:p>
      <w:pPr>
        <w:ind w:left="360"/>
        <w:jc w:val="center"/>
      </w:pPr>
    </w:p>
    <w:p>
      <w:pPr>
        <w:ind w:left="360"/>
        <w:jc w:val="center"/>
      </w:pPr>
    </w:p>
    <w:p>
      <w:pPr>
        <w:ind w:left="360"/>
        <w:jc w:val="center"/>
      </w:pPr>
    </w:p>
    <w:p>
      <w:pPr>
        <w:ind w:left="360"/>
        <w:jc w:val="center"/>
      </w:pPr>
    </w:p>
    <w:p>
      <w:pPr>
        <w:ind w:left="360"/>
        <w:jc w:val="center"/>
        <w:rPr>
          <w:rFonts w:ascii="Arial" w:hAnsi="Arial"/>
          <w:b w:val="0"/>
          <w:color w:val="000000"/>
          <w:sz w:val="20"/>
        </w:rPr>
      </w:pPr>
    </w:p>
    <w:p>
      <w:pPr>
        <w:ind w:left="360"/>
        <w:jc w:val="center"/>
        <w:rPr>
          <w:rFonts w:ascii="Arial" w:hAnsi="Arial"/>
          <w:b w:val="0"/>
          <w:color w:val="000000"/>
          <w:sz w:val="20"/>
        </w:rPr>
      </w:pPr>
    </w:p>
    <w:p>
      <w:pPr>
        <w:ind w:left="360"/>
        <w:jc w:val="center"/>
        <w:rPr>
          <w:rFonts w:ascii="Arial" w:hAnsi="Arial"/>
          <w:b w:val="0"/>
          <w:color w:val="000000"/>
          <w:sz w:val="20"/>
        </w:rPr>
      </w:pPr>
    </w:p>
    <w:p>
      <w:pPr>
        <w:ind w:left="360"/>
        <w:jc w:val="center"/>
        <w:rPr>
          <w:rFonts w:ascii="Arial" w:hAnsi="Arial"/>
          <w:b w:val="0"/>
          <w:color w:val="000000"/>
          <w:sz w:val="20"/>
        </w:rPr>
      </w:pPr>
      <w:r>
        <w:rPr>
          <w:rFonts w:ascii="Arial" w:hAnsi="Arial"/>
          <w:b w:val="1"/>
          <w:color w:val="000000"/>
          <w:sz w:val="20"/>
        </w:rPr>
        <w:t xml:space="preserve">1. Value indices of works </w:t>
      </w:r>
      <w:r>
        <w:rPr>
          <w:rFonts w:ascii="Arial" w:hAnsi="Arial"/>
          <w:b w:val="1"/>
          <w:sz w:val="20"/>
        </w:rPr>
        <w:t>done</w:t>
      </w:r>
      <w:r>
        <w:rPr>
          <w:rFonts w:ascii="Arial" w:hAnsi="Arial"/>
          <w:sz w:val="20"/>
        </w:rPr>
        <w:t xml:space="preserve"> </w:t>
      </w:r>
      <w:r>
        <w:rPr>
          <w:rFonts w:ascii="Arial" w:hAnsi="Arial"/>
          <w:b w:val="1"/>
          <w:color w:val="000000"/>
          <w:sz w:val="20"/>
        </w:rPr>
        <w:t xml:space="preserve">and contracted by the contractors from </w:t>
      </w:r>
    </w:p>
    <w:p>
      <w:pPr>
        <w:spacing w:after="60"/>
        <w:ind w:left="357"/>
        <w:jc w:val="center"/>
        <w:rPr>
          <w:rFonts w:ascii="Arial" w:hAnsi="Arial"/>
          <w:b w:val="0"/>
          <w:color w:val="000000"/>
          <w:sz w:val="20"/>
        </w:rPr>
      </w:pPr>
      <w:r>
        <w:rPr>
          <w:rFonts w:ascii="Arial" w:hAnsi="Arial"/>
          <w:b w:val="1"/>
          <w:color w:val="000000"/>
          <w:sz w:val="20"/>
        </w:rPr>
        <w:t>the Republic of Serbia</w:t>
      </w:r>
    </w:p>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3723" w:type="dxa"/>
            <w:gridSpan w:val="2"/>
            <w:tcBorders>
              <w:top w:val="single" w:sz="4" w:space="0" w:shadow="0" w:frame="0"/>
              <w:left w:val="none" w:sz="0" w:space="0" w:shadow="0" w:frame="0"/>
              <w:bottom w:val="single" w:sz="4" w:space="0" w:shadow="0" w:frame="0"/>
              <w:right w:val="single" w:sz="4" w:space="0" w:shadow="0" w:frame="0"/>
            </w:tcBorders>
            <w:vAlign w:val="center"/>
          </w:tcPr>
          <w:p>
            <w:pPr>
              <w:spacing w:before="20" w:after="20"/>
              <w:rPr>
                <w:rFonts w:ascii="Arial" w:hAnsi="Arial"/>
                <w:sz w:val="10"/>
              </w:rPr>
            </w:pPr>
          </w:p>
        </w:tc>
        <w:tc>
          <w:tcPr>
            <w:tcW w:w="1479" w:type="dxa"/>
            <w:tcBorders>
              <w:top w:val="single" w:sz="4" w:space="0" w:shadow="0" w:frame="0"/>
              <w:left w:val="single" w:sz="4" w:space="0" w:shadow="0" w:frame="0"/>
              <w:bottom w:val="single" w:sz="4" w:space="0" w:shadow="0" w:frame="0"/>
              <w:right w:val="single" w:sz="4" w:space="0" w:shadow="0" w:frame="0"/>
            </w:tcBorders>
            <w:vAlign w:val="bottom"/>
          </w:tcPr>
          <w:p>
            <w:pPr>
              <w:spacing w:before="60"/>
              <w:ind w:left="302"/>
              <w:rPr>
                <w:rFonts w:ascii="Arial" w:hAnsi="Arial"/>
                <w:color w:val="000000"/>
                <w:sz w:val="16"/>
                <w:u w:val="single"/>
              </w:rPr>
            </w:pPr>
            <w:r>
              <w:rPr>
                <w:rFonts w:ascii="Arial" w:hAnsi="Arial"/>
                <w:color w:val="000000"/>
                <w:sz w:val="16"/>
                <w:u w:val="single"/>
              </w:rPr>
              <w:t xml:space="preserve">II  2013</w:t>
            </w:r>
          </w:p>
          <w:p>
            <w:pPr>
              <w:ind w:right="397"/>
              <w:rPr>
                <w:rFonts w:ascii="Arial" w:hAnsi="Arial"/>
                <w:sz w:val="16"/>
              </w:rPr>
            </w:pPr>
            <w:r>
              <w:rPr>
                <w:rFonts w:ascii="Arial" w:hAnsi="Arial"/>
                <w:color w:val="000000"/>
                <w:sz w:val="16"/>
              </w:rPr>
              <w:t xml:space="preserve">       II  2012</w:t>
            </w:r>
          </w:p>
        </w:tc>
        <w:tc>
          <w:tcPr>
            <w:tcW w:w="1480" w:type="dxa"/>
            <w:tcBorders>
              <w:top w:val="single" w:sz="4" w:space="0" w:shadow="0" w:frame="0"/>
              <w:left w:val="single" w:sz="4" w:space="0" w:shadow="0" w:frame="0"/>
              <w:bottom w:val="single" w:sz="4" w:space="0" w:shadow="0" w:frame="0"/>
              <w:right w:val="single" w:sz="4" w:space="0" w:shadow="0" w:frame="0"/>
            </w:tcBorders>
            <w:vAlign w:val="bottom"/>
          </w:tcPr>
          <w:p>
            <w:pPr>
              <w:jc w:val="center"/>
              <w:rPr>
                <w:rFonts w:ascii="Arial" w:hAnsi="Arial"/>
                <w:color w:val="000000"/>
                <w:sz w:val="16"/>
                <w:u w:val="single"/>
              </w:rPr>
            </w:pPr>
            <w:r>
              <w:rPr>
                <w:rFonts w:ascii="Arial" w:hAnsi="Arial"/>
                <w:color w:val="000000"/>
                <w:sz w:val="16"/>
                <w:u w:val="single"/>
              </w:rPr>
              <w:t xml:space="preserve">II   2013</w:t>
            </w:r>
          </w:p>
          <w:p>
            <w:pPr>
              <w:ind w:right="397"/>
              <w:jc w:val="right"/>
              <w:rPr>
                <w:rFonts w:ascii="Arial" w:hAnsi="Arial"/>
                <w:sz w:val="16"/>
              </w:rPr>
            </w:pPr>
            <w:r>
              <w:rPr>
                <w:rFonts w:ascii="Arial" w:hAnsi="Arial"/>
                <w:color w:val="000000"/>
                <w:sz w:val="16"/>
              </w:rPr>
              <w:t xml:space="preserve">    I    2013</w:t>
            </w:r>
          </w:p>
        </w:tc>
        <w:tc>
          <w:tcPr>
            <w:tcW w:w="1477" w:type="dxa"/>
            <w:tcBorders>
              <w:top w:val="single" w:sz="4" w:space="0" w:shadow="0" w:frame="0"/>
              <w:left w:val="single" w:sz="4" w:space="0" w:shadow="0" w:frame="0"/>
              <w:bottom w:val="single" w:sz="4" w:space="0" w:shadow="0" w:frame="0"/>
              <w:right w:val="single" w:sz="4" w:space="0" w:shadow="0" w:frame="0"/>
            </w:tcBorders>
            <w:vAlign w:val="bottom"/>
          </w:tcPr>
          <w:p>
            <w:pPr>
              <w:jc w:val="center"/>
              <w:rPr>
                <w:rFonts w:ascii="Arial" w:hAnsi="Arial"/>
                <w:color w:val="000000"/>
                <w:sz w:val="16"/>
                <w:u w:val="single"/>
              </w:rPr>
            </w:pPr>
            <w:r>
              <w:rPr>
                <w:rFonts w:ascii="Arial" w:hAnsi="Arial"/>
                <w:color w:val="000000"/>
                <w:sz w:val="16"/>
                <w:u w:val="single"/>
              </w:rPr>
              <w:t xml:space="preserve">II  2013</w:t>
            </w:r>
          </w:p>
          <w:p>
            <w:pPr>
              <w:ind w:right="397"/>
              <w:jc w:val="right"/>
              <w:rPr>
                <w:rFonts w:ascii="Arial" w:hAnsi="Arial"/>
                <w:sz w:val="16"/>
              </w:rPr>
            </w:pPr>
            <w:r>
              <w:rPr>
                <w:rFonts w:ascii="Arial" w:hAnsi="Arial"/>
                <w:color w:val="000000"/>
                <w:sz w:val="16"/>
              </w:rPr>
              <w:t xml:space="preserve">Ø  2012</w:t>
            </w:r>
          </w:p>
        </w:tc>
        <w:tc>
          <w:tcPr>
            <w:tcW w:w="1480" w:type="dxa"/>
            <w:tcBorders>
              <w:top w:val="single" w:sz="4" w:space="0" w:shadow="0" w:frame="0"/>
              <w:left w:val="single" w:sz="4" w:space="0" w:shadow="0" w:frame="0"/>
              <w:bottom w:val="single" w:sz="4" w:space="0" w:shadow="0" w:frame="0"/>
              <w:right w:val="none" w:sz="0" w:space="0" w:shadow="0" w:frame="0"/>
            </w:tcBorders>
            <w:vAlign w:val="bottom"/>
          </w:tcPr>
          <w:p>
            <w:pPr>
              <w:jc w:val="center"/>
              <w:rPr>
                <w:rFonts w:ascii="Arial" w:hAnsi="Arial"/>
                <w:color w:val="000000"/>
                <w:sz w:val="16"/>
                <w:u w:val="single"/>
              </w:rPr>
            </w:pPr>
            <w:r>
              <w:rPr>
                <w:rFonts w:ascii="Arial" w:hAnsi="Arial"/>
                <w:color w:val="000000"/>
                <w:sz w:val="16"/>
                <w:u w:val="single"/>
              </w:rPr>
              <w:t xml:space="preserve">I-II  2013</w:t>
            </w:r>
          </w:p>
          <w:p>
            <w:pPr>
              <w:ind w:right="397"/>
              <w:jc w:val="right"/>
              <w:rPr>
                <w:rFonts w:ascii="Arial" w:hAnsi="Arial"/>
                <w:sz w:val="16"/>
              </w:rPr>
            </w:pPr>
            <w:r>
              <w:rPr>
                <w:rFonts w:ascii="Arial" w:hAnsi="Arial"/>
                <w:color w:val="000000"/>
                <w:sz w:val="16"/>
              </w:rPr>
              <w:t xml:space="preserve"> I-II  2012</w:t>
            </w:r>
          </w:p>
        </w:tc>
      </w:tr>
      <w:tr>
        <w:trPr>
          <w:wAfter w:w="0" w:type="dxa"/>
        </w:trPr>
        <w:tc>
          <w:tcPr>
            <w:tcW w:w="3723" w:type="dxa"/>
            <w:gridSpan w:val="2"/>
            <w:tcBorders>
              <w:top w:val="single" w:sz="4"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10"/>
              </w:rPr>
            </w:pPr>
          </w:p>
          <w:p>
            <w:pPr>
              <w:spacing w:before="20" w:after="20"/>
              <w:rPr>
                <w:rFonts w:ascii="Arial" w:hAnsi="Arial"/>
                <w:sz w:val="20"/>
              </w:rPr>
            </w:pPr>
            <w:r>
              <w:rPr>
                <w:rFonts w:ascii="Arial" w:hAnsi="Arial"/>
                <w:sz w:val="16"/>
              </w:rPr>
              <w:t>Value of works done – total</w:t>
            </w:r>
          </w:p>
        </w:tc>
        <w:tc>
          <w:tcPr>
            <w:tcW w:w="1479" w:type="dxa"/>
            <w:tcBorders>
              <w:top w:val="single" w:sz="4"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p>
          <w:p>
            <w:pPr>
              <w:spacing w:before="80"/>
              <w:ind w:right="397"/>
              <w:jc w:val="right"/>
              <w:rPr>
                <w:rFonts w:ascii="Arial" w:hAnsi="Arial"/>
                <w:sz w:val="16"/>
              </w:rPr>
            </w:pPr>
            <w:r>
              <w:rPr>
                <w:rFonts w:ascii="Arial" w:hAnsi="Arial"/>
                <w:sz w:val="16"/>
              </w:rPr>
              <w:t>56.0</w:t>
            </w:r>
          </w:p>
        </w:tc>
        <w:tc>
          <w:tcPr>
            <w:tcW w:w="1480" w:type="dxa"/>
            <w:tcBorders>
              <w:top w:val="single" w:sz="4"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125.0</w:t>
            </w:r>
          </w:p>
        </w:tc>
        <w:tc>
          <w:tcPr>
            <w:tcW w:w="1477" w:type="dxa"/>
            <w:tcBorders>
              <w:top w:val="single" w:sz="4"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60.8</w:t>
            </w:r>
          </w:p>
        </w:tc>
        <w:tc>
          <w:tcPr>
            <w:tcW w:w="1480" w:type="dxa"/>
            <w:tcBorders>
              <w:top w:val="single" w:sz="4"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p>
          <w:p>
            <w:pPr>
              <w:spacing w:before="80"/>
              <w:ind w:right="397"/>
              <w:jc w:val="right"/>
              <w:rPr>
                <w:rFonts w:ascii="Arial" w:hAnsi="Arial"/>
                <w:sz w:val="16"/>
              </w:rPr>
            </w:pPr>
            <w:r>
              <w:rPr>
                <w:rFonts w:ascii="Arial" w:hAnsi="Arial"/>
                <w:sz w:val="16"/>
              </w:rPr>
              <w:t>65.1</w:t>
            </w:r>
          </w:p>
        </w:tc>
      </w:tr>
      <w:tr>
        <w:trPr>
          <w:wAfter w:w="0" w:type="dxa"/>
        </w:trPr>
        <w:tc>
          <w:tcPr>
            <w:tcW w:w="271" w:type="dxa"/>
            <w:tcBorders>
              <w:top w:val="none" w:sz="0" w:space="0" w:shadow="0" w:frame="0"/>
              <w:left w:val="none" w:sz="0" w:space="0" w:shadow="0" w:frame="0"/>
              <w:bottom w:val="none" w:sz="0" w:space="0" w:shadow="0" w:frame="0"/>
              <w:right w:val="none" w:sz="0" w:space="0" w:shadow="0" w:frame="0"/>
            </w:tcBorders>
            <w:vAlign w:val="center"/>
          </w:tcPr>
          <w:p>
            <w:pPr>
              <w:spacing w:before="20" w:after="20"/>
              <w:ind w:left="57"/>
              <w:rPr>
                <w:rFonts w:ascii="Arial" w:hAnsi="Arial"/>
                <w:sz w:val="16"/>
              </w:rPr>
            </w:pPr>
            <w:r>
              <w:rPr>
                <w:rFonts w:ascii="Arial" w:hAnsi="Arial"/>
                <w:sz w:val="16"/>
              </w:rPr>
              <w:t xml:space="preserve">    </w:t>
            </w:r>
          </w:p>
        </w:tc>
        <w:tc>
          <w:tcPr>
            <w:tcW w:w="3452" w:type="dxa"/>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r>
              <w:rPr>
                <w:rFonts w:ascii="Arial" w:hAnsi="Arial"/>
                <w:sz w:val="16"/>
              </w:rPr>
              <w:t>Buildings</w:t>
            </w:r>
          </w:p>
        </w:tc>
        <w:tc>
          <w:tcPr>
            <w:tcW w:w="1479"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56.4</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141.5</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64.5</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60.7</w:t>
            </w:r>
          </w:p>
        </w:tc>
      </w:tr>
      <w:tr>
        <w:trPr>
          <w:wAfter w:w="0" w:type="dxa"/>
        </w:trPr>
        <w:tc>
          <w:tcPr>
            <w:tcW w:w="271" w:type="dxa"/>
            <w:tcBorders>
              <w:top w:val="none" w:sz="0" w:space="0" w:shadow="0" w:frame="0"/>
              <w:left w:val="none" w:sz="0" w:space="0" w:shadow="0" w:frame="0"/>
              <w:bottom w:val="none" w:sz="0" w:space="0" w:shadow="0" w:frame="0"/>
              <w:right w:val="none" w:sz="0" w:space="0" w:shadow="0" w:frame="0"/>
            </w:tcBorders>
            <w:vAlign w:val="center"/>
          </w:tcPr>
          <w:p>
            <w:pPr>
              <w:spacing w:before="20" w:after="20"/>
              <w:ind w:left="57"/>
              <w:rPr>
                <w:rFonts w:ascii="Arial" w:hAnsi="Arial"/>
                <w:sz w:val="16"/>
              </w:rPr>
            </w:pPr>
            <w:r>
              <w:rPr>
                <w:rFonts w:ascii="Arial" w:hAnsi="Arial"/>
                <w:sz w:val="16"/>
              </w:rPr>
              <w:t xml:space="preserve">    </w:t>
            </w:r>
          </w:p>
        </w:tc>
        <w:tc>
          <w:tcPr>
            <w:tcW w:w="3452" w:type="dxa"/>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r>
              <w:rPr>
                <w:rFonts w:ascii="Arial" w:hAnsi="Arial"/>
                <w:sz w:val="16"/>
              </w:rPr>
              <w:t>Civil engineering</w:t>
            </w:r>
          </w:p>
        </w:tc>
        <w:tc>
          <w:tcPr>
            <w:tcW w:w="1479"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55.8</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117.1</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58.7</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67.7</w:t>
            </w:r>
          </w:p>
        </w:tc>
      </w:tr>
      <w:tr>
        <w:trPr>
          <w:wAfter w:w="0" w:type="dxa"/>
        </w:trPr>
        <w:tc>
          <w:tcPr>
            <w:tcW w:w="3723" w:type="dxa"/>
            <w:gridSpan w:val="2"/>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p>
        </w:tc>
        <w:tc>
          <w:tcPr>
            <w:tcW w:w="1479"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397"/>
              <w:jc w:val="right"/>
              <w:rPr>
                <w:rFonts w:ascii="Arial" w:hAnsi="Arial"/>
                <w:sz w:val="16"/>
              </w:rPr>
            </w:pPr>
          </w:p>
        </w:tc>
        <w:tc>
          <w:tcPr>
            <w:tcW w:w="1480"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rFonts w:ascii="Arial" w:hAnsi="Arial"/>
                <w:sz w:val="16"/>
              </w:rPr>
            </w:pPr>
          </w:p>
        </w:tc>
        <w:tc>
          <w:tcPr>
            <w:tcW w:w="1477" w:type="dxa"/>
            <w:tcBorders>
              <w:top w:val="none" w:sz="0" w:space="0" w:shadow="0" w:frame="0"/>
              <w:left w:val="none" w:sz="0" w:space="0" w:shadow="0" w:frame="0"/>
              <w:bottom w:val="none" w:sz="0" w:space="0" w:shadow="0" w:frame="0"/>
              <w:right w:val="none" w:sz="0" w:space="0" w:shadow="0" w:frame="0"/>
            </w:tcBorders>
            <w:vAlign w:val="bottom"/>
          </w:tcPr>
          <w:p>
            <w:pPr>
              <w:ind w:right="397"/>
              <w:jc w:val="right"/>
              <w:rPr>
                <w:rFonts w:ascii="Arial" w:hAnsi="Arial"/>
                <w:sz w:val="16"/>
              </w:rPr>
            </w:pP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397"/>
              <w:jc w:val="right"/>
              <w:rPr>
                <w:rFonts w:ascii="Arial" w:hAnsi="Arial"/>
                <w:sz w:val="16"/>
              </w:rPr>
            </w:pPr>
          </w:p>
        </w:tc>
      </w:tr>
      <w:tr>
        <w:trPr>
          <w:wAfter w:w="0" w:type="dxa"/>
        </w:trPr>
        <w:tc>
          <w:tcPr>
            <w:tcW w:w="3723" w:type="dxa"/>
            <w:gridSpan w:val="2"/>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r>
              <w:rPr>
                <w:rFonts w:ascii="Arial" w:hAnsi="Arial"/>
                <w:sz w:val="16"/>
              </w:rPr>
              <w:t xml:space="preserve">Value of  works done abroad</w:t>
            </w:r>
          </w:p>
        </w:tc>
        <w:tc>
          <w:tcPr>
            <w:tcW w:w="1479" w:type="dxa"/>
            <w:tcBorders>
              <w:top w:val="none" w:sz="0" w:space="0" w:shadow="0" w:frame="0"/>
              <w:left w:val="single" w:sz="4"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108.3</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166.1</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88.0</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113.1</w:t>
            </w:r>
          </w:p>
        </w:tc>
      </w:tr>
      <w:tr>
        <w:trPr>
          <w:wAfter w:w="0" w:type="dxa"/>
        </w:trPr>
        <w:tc>
          <w:tcPr>
            <w:tcW w:w="3723" w:type="dxa"/>
            <w:gridSpan w:val="2"/>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p>
        </w:tc>
        <w:tc>
          <w:tcPr>
            <w:tcW w:w="1479" w:type="dxa"/>
            <w:tcBorders>
              <w:top w:val="none" w:sz="0" w:space="0" w:shadow="0" w:frame="0"/>
              <w:left w:val="single" w:sz="4" w:space="0" w:shadow="0" w:frame="0"/>
              <w:bottom w:val="none" w:sz="0" w:space="0" w:shadow="0" w:frame="0"/>
              <w:right w:val="none" w:sz="0" w:space="0" w:shadow="0" w:frame="0"/>
            </w:tcBorders>
            <w:vAlign w:val="bottom"/>
          </w:tcPr>
          <w:p>
            <w:pPr>
              <w:spacing w:before="80" w:after="20"/>
              <w:ind w:right="397"/>
              <w:jc w:val="right"/>
              <w:rPr>
                <w:rFonts w:ascii="Arial" w:hAnsi="Arial"/>
                <w:sz w:val="16"/>
              </w:rPr>
            </w:pP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p>
        </w:tc>
        <w:tc>
          <w:tcPr>
            <w:tcW w:w="1477"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after="20"/>
              <w:ind w:right="397"/>
              <w:jc w:val="right"/>
              <w:rPr>
                <w:rFonts w:ascii="Arial" w:hAnsi="Arial"/>
                <w:sz w:val="16"/>
              </w:rPr>
            </w:pPr>
          </w:p>
        </w:tc>
      </w:tr>
      <w:tr>
        <w:trPr>
          <w:wAfter w:w="0" w:type="dxa"/>
        </w:trPr>
        <w:tc>
          <w:tcPr>
            <w:tcW w:w="3723" w:type="dxa"/>
            <w:gridSpan w:val="2"/>
            <w:tcBorders>
              <w:top w:val="none" w:sz="0" w:space="0" w:shadow="0" w:frame="0"/>
              <w:left w:val="none" w:sz="0" w:space="0" w:shadow="0" w:frame="0"/>
              <w:bottom w:val="none" w:sz="0" w:space="0" w:shadow="0" w:frame="0"/>
              <w:right w:val="single" w:sz="4" w:space="0" w:shadow="0" w:frame="0"/>
            </w:tcBorders>
            <w:vAlign w:val="center"/>
          </w:tcPr>
          <w:p>
            <w:pPr>
              <w:spacing w:before="20" w:after="20"/>
              <w:rPr>
                <w:rFonts w:ascii="Arial" w:hAnsi="Arial"/>
                <w:sz w:val="20"/>
              </w:rPr>
            </w:pPr>
            <w:r>
              <w:rPr>
                <w:rFonts w:ascii="Arial" w:hAnsi="Arial"/>
                <w:sz w:val="16"/>
              </w:rPr>
              <w:t>Value of contracted works</w:t>
            </w:r>
          </w:p>
        </w:tc>
        <w:tc>
          <w:tcPr>
            <w:tcW w:w="1479" w:type="dxa"/>
            <w:tcBorders>
              <w:top w:val="none" w:sz="0" w:space="0" w:shadow="0" w:frame="0"/>
              <w:left w:val="single" w:sz="4"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88.7</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225.5</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92.6</w:t>
            </w:r>
          </w:p>
        </w:tc>
        <w:tc>
          <w:tcPr>
            <w:tcW w:w="1480" w:type="dxa"/>
            <w:tcBorders>
              <w:top w:val="none" w:sz="0" w:space="0" w:shadow="0" w:frame="0"/>
              <w:left w:val="none" w:sz="0" w:space="0" w:shadow="0" w:frame="0"/>
              <w:bottom w:val="none" w:sz="0" w:space="0" w:shadow="0" w:frame="0"/>
              <w:right w:val="none" w:sz="0" w:space="0" w:shadow="0" w:frame="0"/>
            </w:tcBorders>
            <w:vAlign w:val="bottom"/>
          </w:tcPr>
          <w:p>
            <w:pPr>
              <w:spacing w:before="80"/>
              <w:ind w:right="397"/>
              <w:jc w:val="right"/>
              <w:rPr>
                <w:rFonts w:ascii="Arial" w:hAnsi="Arial"/>
                <w:sz w:val="16"/>
              </w:rPr>
            </w:pPr>
            <w:r>
              <w:rPr>
                <w:rFonts w:ascii="Arial" w:hAnsi="Arial"/>
                <w:sz w:val="16"/>
              </w:rPr>
              <w:t>85.4</w:t>
            </w:r>
          </w:p>
        </w:tc>
      </w:tr>
    </w:tbl>
    <w:p>
      <w:pPr>
        <w:spacing w:after="60"/>
        <w:ind w:left="357"/>
        <w:jc w:val="center"/>
        <w:rPr>
          <w:rFonts w:ascii="Arial" w:hAnsi="Arial"/>
          <w:b w:val="0"/>
          <w:color w:val="000000"/>
          <w:sz w:val="20"/>
        </w:rPr>
      </w:pPr>
    </w:p>
    <w:p>
      <w:pPr>
        <w:jc w:val="center"/>
        <w:rPr>
          <w:rFonts w:ascii="Arial" w:hAnsi="Arial"/>
          <w:b w:val="0"/>
          <w:color w:val="000000"/>
        </w:rPr>
      </w:pPr>
    </w:p>
    <w:p>
      <w:pPr>
        <w:jc w:val="center"/>
        <w:rPr>
          <w:rFonts w:ascii="Arial" w:hAnsi="Arial"/>
          <w:b w:val="0"/>
          <w:color w:val="000000"/>
        </w:rPr>
      </w:pPr>
    </w:p>
    <w:p/>
    <w:p>
      <w:pPr>
        <w:pStyle w:val="P8"/>
        <w:spacing w:before="120" w:after="0"/>
        <w:ind w:firstLine="397"/>
        <w:jc w:val="both"/>
        <w:rPr>
          <w:sz w:val="22"/>
        </w:rPr>
      </w:pPr>
      <w:r>
        <w:rPr>
          <w:sz w:val="22"/>
        </w:rPr>
        <w:t>NOTES:</w:t>
      </w:r>
    </w:p>
    <w:p>
      <w:pPr>
        <w:pStyle w:val="P11"/>
        <w:spacing w:before="120"/>
        <w:ind w:firstLine="397"/>
        <w:rPr>
          <w:b w:val="0"/>
          <w:sz w:val="20"/>
        </w:rPr>
      </w:pPr>
      <w:r>
        <w:rPr>
          <w:sz w:val="20"/>
        </w:rPr>
        <w:t xml:space="preserve">The presented data are collected by the survey on quarterly construction activity. The report is filled by physical persons and legal entities that perform construction works. The survey does not include all physical persons and legal entities, but only those, important for construction activity.   </w:t>
      </w:r>
    </w:p>
    <w:p>
      <w:pPr>
        <w:spacing w:before="120"/>
        <w:ind w:firstLine="397"/>
        <w:jc w:val="both"/>
        <w:rPr>
          <w:rFonts w:ascii="Arial" w:hAnsi="Arial"/>
          <w:sz w:val="20"/>
        </w:rPr>
      </w:pPr>
      <w:r>
        <w:rPr>
          <w:rFonts w:ascii="Arial" w:hAnsi="Arial"/>
          <w:b w:val="1"/>
          <w:sz w:val="20"/>
        </w:rPr>
        <w:t xml:space="preserve">Value of construction works done during the reference quarter </w:t>
      </w:r>
      <w:r>
        <w:rPr>
          <w:rFonts w:ascii="Arial" w:hAnsi="Arial"/>
          <w:sz w:val="20"/>
        </w:rPr>
        <w:t xml:space="preserve">presents value of construction works carried out during the reference period, by the reporting unit, i.e. by workers directly engaged on construction sites. </w:t>
      </w:r>
    </w:p>
    <w:p>
      <w:pPr>
        <w:spacing w:before="120"/>
        <w:ind w:firstLine="397"/>
        <w:jc w:val="both"/>
        <w:rPr>
          <w:rFonts w:ascii="Arial" w:hAnsi="Arial"/>
          <w:sz w:val="20"/>
        </w:rPr>
      </w:pPr>
      <w:r>
        <w:rPr>
          <w:rFonts w:ascii="Arial" w:hAnsi="Arial"/>
          <w:sz w:val="20"/>
        </w:rPr>
        <w:t xml:space="preserve">Value indices at constant prices are obtained by dividing indices at current prices by appropriate indices of producer’s prices of elements and materials incorporated in construction.  </w:t>
      </w:r>
    </w:p>
    <w:p>
      <w:pPr>
        <w:spacing w:before="120"/>
        <w:ind w:firstLine="397"/>
        <w:jc w:val="both"/>
        <w:rPr>
          <w:rFonts w:ascii="Arial" w:hAnsi="Arial"/>
          <w:b w:val="0"/>
          <w:sz w:val="20"/>
        </w:rPr>
      </w:pPr>
      <w:r>
        <w:rPr>
          <w:rFonts w:ascii="Arial" w:hAnsi="Arial"/>
          <w:sz w:val="20"/>
        </w:rPr>
        <w:t xml:space="preserve">Value structure of construction works done is presented by types of constructions, according to Classification of Types of Construction. </w:t>
      </w:r>
    </w:p>
    <w:p>
      <w:pPr>
        <w:spacing w:before="120"/>
        <w:ind w:firstLine="397"/>
        <w:jc w:val="both"/>
        <w:rPr>
          <w:rFonts w:ascii="Arial" w:hAnsi="Arial"/>
          <w:b w:val="0"/>
          <w:sz w:val="20"/>
        </w:rPr>
      </w:pPr>
      <w:r>
        <w:rPr>
          <w:rFonts w:ascii="Arial" w:hAnsi="Arial"/>
          <w:sz w:val="20"/>
        </w:rPr>
        <w:t>A</w:t>
      </w:r>
      <w:r>
        <w:rPr>
          <w:rFonts w:ascii="Arial" w:hAnsi="Arial"/>
          <w:b w:val="1"/>
          <w:sz w:val="20"/>
        </w:rPr>
        <w:t xml:space="preserve"> construction </w:t>
      </w:r>
      <w:r>
        <w:rPr>
          <w:rFonts w:ascii="Arial" w:hAnsi="Arial"/>
          <w:sz w:val="20"/>
        </w:rPr>
        <w:t xml:space="preserve">comprises construction connected with the ground (any underground, over ground, as well as hydro technical structure – water works), for which construction works are performed, made of construction material and building – in finished products. Works related to preparation of the surface, sowing or seeding are agriculture related activities and are not included in construction works.    </w:t>
      </w:r>
      <w:r>
        <w:rPr>
          <w:rFonts w:ascii="Arial" w:hAnsi="Arial"/>
          <w:b w:val="1"/>
          <w:sz w:val="20"/>
        </w:rPr>
        <w:t xml:space="preserve">  </w:t>
      </w:r>
    </w:p>
    <w:p>
      <w:pPr>
        <w:spacing w:before="120"/>
        <w:ind w:firstLine="397"/>
        <w:jc w:val="both"/>
        <w:rPr>
          <w:rFonts w:ascii="Arial" w:hAnsi="Arial"/>
          <w:sz w:val="20"/>
        </w:rPr>
      </w:pPr>
      <w:r>
        <w:rPr>
          <w:rFonts w:ascii="Arial" w:hAnsi="Arial"/>
          <w:b w:val="1"/>
          <w:sz w:val="20"/>
        </w:rPr>
        <w:t xml:space="preserve">Buildings </w:t>
      </w:r>
      <w:r>
        <w:rPr>
          <w:rFonts w:ascii="Arial" w:hAnsi="Arial"/>
          <w:sz w:val="20"/>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spacing w:before="120"/>
        <w:ind w:firstLine="397"/>
        <w:jc w:val="both"/>
        <w:rPr>
          <w:rFonts w:ascii="Arial" w:hAnsi="Arial"/>
          <w:b w:val="0"/>
          <w:sz w:val="20"/>
        </w:rPr>
      </w:pPr>
      <w:r>
        <w:rPr>
          <w:rFonts w:ascii="Arial" w:hAnsi="Arial"/>
          <w:sz w:val="20"/>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spacing w:before="120"/>
        <w:ind w:firstLine="397"/>
        <w:jc w:val="both"/>
        <w:rPr>
          <w:rFonts w:ascii="Arial" w:hAnsi="Arial"/>
          <w:b w:val="0"/>
          <w:sz w:val="20"/>
        </w:rPr>
      </w:pPr>
      <w:r>
        <w:rPr>
          <w:rFonts w:ascii="Arial" w:hAnsi="Arial"/>
          <w:b w:val="1"/>
          <w:sz w:val="20"/>
        </w:rPr>
        <w:t xml:space="preserve">Other civil engineering constructions </w:t>
      </w:r>
      <w:r>
        <w:rPr>
          <w:rFonts w:ascii="Arial" w:hAnsi="Arial"/>
          <w:sz w:val="20"/>
        </w:rPr>
        <w:t xml:space="preserve">relate to all constructions that are not buildings: railways, roads, bridges, highways, airport runways, pools, etc. </w:t>
      </w:r>
      <w:r>
        <w:rPr>
          <w:rFonts w:ascii="Arial" w:hAnsi="Arial"/>
          <w:b w:val="1"/>
          <w:sz w:val="20"/>
        </w:rPr>
        <w:t xml:space="preserve"> </w:t>
      </w:r>
    </w:p>
    <w:p>
      <w:pPr>
        <w:pStyle w:val="P13"/>
        <w:spacing w:before="120"/>
        <w:ind w:firstLine="397"/>
        <w:rPr>
          <w:b w:val="0"/>
          <w:sz w:val="20"/>
        </w:rPr>
      </w:pPr>
      <w:r>
        <w:rPr>
          <w:b w:val="1"/>
          <w:sz w:val="20"/>
        </w:rPr>
        <w:t xml:space="preserve">Value of contracted works </w:t>
      </w:r>
      <w:r>
        <w:rPr>
          <w:sz w:val="20"/>
        </w:rPr>
        <w:t xml:space="preserve">presents total value of contracts signed during the reference quarter (new contracts). </w:t>
      </w:r>
    </w:p>
    <w:p>
      <w:pPr>
        <w:spacing w:before="120" w:after="120"/>
        <w:ind w:firstLine="397"/>
        <w:jc w:val="both"/>
        <w:rPr>
          <w:rFonts w:ascii="Arial" w:hAnsi="Arial"/>
          <w:b w:val="0"/>
        </w:rPr>
      </w:pPr>
      <w:r>
        <w:rPr>
          <w:rFonts w:ascii="Arial" w:hAnsi="Arial"/>
          <w:sz w:val="20"/>
        </w:rPr>
        <w:t xml:space="preserve">More detailed methodological explanations of this survey are available on the website of the Office </w:t>
      </w:r>
      <w:r>
        <w:rPr>
          <w:rFonts w:ascii="Arial" w:hAnsi="Arial"/>
          <w:sz w:val="20"/>
        </w:rPr>
        <w:fldChar w:fldCharType="begin"/>
      </w:r>
      <w:r>
        <w:rPr>
          <w:rFonts w:ascii="Arial" w:hAnsi="Arial"/>
          <w:sz w:val="20"/>
        </w:rPr>
        <w:instrText xml:space="preserve"> HYPERLINK "http://webrzs.stat.gov.rs" </w:instrText>
      </w:r>
      <w:r>
        <w:rPr>
          <w:rFonts w:ascii="Arial" w:hAnsi="Arial"/>
          <w:sz w:val="20"/>
        </w:rPr>
        <w:fldChar w:fldCharType="separate"/>
      </w:r>
      <w:r>
        <w:rPr>
          <w:rStyle w:val="C2"/>
          <w:rFonts w:ascii="Arial" w:hAnsi="Arial"/>
          <w:color w:val="auto"/>
          <w:sz w:val="20"/>
        </w:rPr>
        <w:t>http://webrzs.stat.gov.rs</w:t>
      </w:r>
      <w:r>
        <w:rPr>
          <w:rStyle w:val="C2"/>
          <w:rFonts w:ascii="Arial" w:hAnsi="Arial"/>
          <w:color w:val="auto"/>
          <w:sz w:val="20"/>
        </w:rPr>
        <w:fldChar w:fldCharType="end"/>
      </w:r>
      <w:r>
        <w:rPr>
          <w:rFonts w:ascii="Arial" w:hAnsi="Arial"/>
          <w:sz w:val="20"/>
        </w:rPr>
        <w:t xml:space="preserve">.  </w:t>
      </w:r>
    </w:p>
    <w:p>
      <w:pPr>
        <w:spacing w:before="120"/>
        <w:ind w:firstLine="397"/>
        <w:jc w:val="both"/>
        <w:rPr>
          <w:rFonts w:ascii="Arial" w:hAnsi="Arial"/>
          <w:b w:val="0"/>
          <w:sz w:val="20"/>
        </w:rPr>
      </w:pPr>
      <w:r>
        <w:rPr>
          <w:rFonts w:ascii="Arial" w:hAnsi="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pStyle w:val="P13"/>
        <w:rPr>
          <w:sz w:val="20"/>
        </w:rPr>
      </w:pPr>
    </w:p>
    <w:tbl>
      <w:tblPr>
        <w:tblStyle w:val="T4"/>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073"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rFonts w:ascii="Arial" w:hAnsi="Arial"/>
                <w:i w:val="1"/>
                <w:sz w:val="18"/>
              </w:rPr>
            </w:pPr>
            <w:r>
              <w:rPr>
                <w:rFonts w:ascii="Arial" w:hAnsi="Arial"/>
                <w:i w:val="1"/>
                <w:sz w:val="18"/>
              </w:rPr>
              <w:t>Contact</w:t>
            </w:r>
            <w:r>
              <w:rPr>
                <w:rFonts w:ascii="Arial" w:hAnsi="Arial"/>
                <w:i w:val="1"/>
                <w:sz w:val="18"/>
              </w:rPr>
              <w:t>:</w:t>
            </w:r>
            <w:r>
              <w:rPr>
                <w:rFonts w:ascii="Arial" w:hAnsi="Arial"/>
                <w:i w:val="1"/>
                <w:color w:val="FF0000"/>
                <w:sz w:val="18"/>
              </w:rPr>
              <w:t xml:space="preserve">  </w:t>
            </w:r>
            <w:r>
              <w:rPr>
                <w:sz w:val="20"/>
              </w:rPr>
              <w:fldChar w:fldCharType="begin"/>
            </w:r>
            <w:r>
              <w:rPr>
                <w:rFonts w:ascii="Arial" w:hAnsi="Arial"/>
                <w:i w:val="1"/>
                <w:color w:val="0000FF"/>
                <w:sz w:val="18"/>
              </w:rPr>
              <w:instrText xml:space="preserve"> HYPERLINK "mailto:m</w:instrText>
            </w:r>
            <w:r>
              <w:rPr>
                <w:rFonts w:ascii="Arial" w:hAnsi="Arial"/>
                <w:i w:val="1"/>
                <w:color w:val="0000FF"/>
                <w:sz w:val="18"/>
              </w:rPr>
              <w:instrText xml:space="preserve">ilka.djuka@stat.gov.rs" </w:instrText>
            </w:r>
            <w:r>
              <w:rPr>
                <w:sz w:val="20"/>
              </w:rPr>
              <w:fldChar w:fldCharType="separate"/>
            </w:r>
            <w:r>
              <w:rPr>
                <w:rStyle w:val="C2"/>
                <w:rFonts w:ascii="Arial" w:hAnsi="Arial"/>
                <w:i w:val="1"/>
                <w:sz w:val="18"/>
              </w:rPr>
              <w:t>milka.djuka@stat.gov.rs</w:t>
            </w:r>
            <w:r>
              <w:rPr>
                <w:rStyle w:val="C2"/>
                <w:sz w:val="20"/>
              </w:rPr>
              <w:fldChar w:fldCharType="end"/>
            </w:r>
            <w:r>
              <w:rPr>
                <w:rFonts w:ascii="Arial" w:hAnsi="Arial"/>
                <w:i w:val="1"/>
                <w:color w:val="FF0000"/>
                <w:sz w:val="18"/>
              </w:rPr>
              <w:t xml:space="preserve">  </w:t>
            </w:r>
            <w:r>
              <w:rPr>
                <w:rFonts w:ascii="Arial" w:hAnsi="Arial"/>
                <w:i w:val="1"/>
                <w:sz w:val="18"/>
              </w:rPr>
              <w:t>Phone</w:t>
            </w:r>
            <w:r>
              <w:rPr>
                <w:rFonts w:ascii="Arial" w:hAnsi="Arial"/>
                <w:i w:val="1"/>
                <w:sz w:val="18"/>
              </w:rPr>
              <w:t xml:space="preserve">: 011 2412-922  </w:t>
            </w:r>
            <w:r>
              <w:rPr>
                <w:rFonts w:ascii="Arial" w:hAnsi="Arial"/>
                <w:i w:val="1"/>
                <w:sz w:val="18"/>
              </w:rPr>
              <w:t>ext.</w:t>
            </w:r>
            <w:r>
              <w:rPr>
                <w:rFonts w:ascii="Arial" w:hAnsi="Arial"/>
                <w:i w:val="1"/>
                <w:sz w:val="18"/>
              </w:rPr>
              <w:t xml:space="preserve"> 260</w:t>
            </w:r>
          </w:p>
          <w:p>
            <w:pPr>
              <w:framePr w:w="0" w:h="0" w:hRule="auto" w:vSpace="0" w:hSpace="0" w:wrap="auto" w:vAnchor="margin" w:hAnchor="text" w:x="0" w:xAlign="left" w:y="0" w:yAlign="inline"/>
              <w:jc w:val="center"/>
              <w:rPr>
                <w:rFonts w:ascii="Arial" w:hAnsi="Arial"/>
                <w:i w:val="1"/>
                <w:sz w:val="18"/>
              </w:rPr>
            </w:pPr>
            <w:r>
              <w:rPr>
                <w:rFonts w:ascii="Arial" w:hAnsi="Arial"/>
                <w:i w:val="1"/>
                <w:sz w:val="18"/>
              </w:rPr>
              <w:t>Published and printed by: Statistical Office of the Republic of Serbia, Belgrade, Milana Raki</w:t>
            </w:r>
            <w:r>
              <w:rPr>
                <w:rFonts w:ascii="Arial" w:hAnsi="Arial"/>
                <w:i w:val="1"/>
                <w:sz w:val="18"/>
              </w:rPr>
              <w:t>ć</w:t>
            </w:r>
            <w:r>
              <w:rPr>
                <w:rFonts w:ascii="Arial" w:hAnsi="Arial"/>
                <w:i w:val="1"/>
                <w:sz w:val="18"/>
              </w:rPr>
              <w:t xml:space="preserve">a 5, </w:t>
            </w:r>
          </w:p>
          <w:p>
            <w:pPr>
              <w:framePr w:w="0" w:h="0" w:hRule="auto" w:vSpace="0" w:hSpace="0" w:wrap="auto" w:vAnchor="margin" w:hAnchor="text" w:x="0" w:xAlign="left" w:y="0" w:yAlign="inline"/>
              <w:jc w:val="center"/>
              <w:rPr>
                <w:rFonts w:ascii="Arial" w:hAnsi="Arial"/>
                <w:i w:val="1"/>
                <w:sz w:val="18"/>
              </w:rPr>
            </w:pPr>
            <w:r>
              <w:rPr>
                <w:rFonts w:ascii="Arial" w:hAnsi="Arial"/>
                <w:i w:val="1"/>
                <w:sz w:val="18"/>
              </w:rPr>
              <w:t xml:space="preserve">Phone: +381 11 2412922 ● Fax: +381 11 2411260 ● www.stat.gov.rs  </w:t>
            </w:r>
          </w:p>
          <w:p>
            <w:pPr>
              <w:framePr w:w="0" w:h="0" w:hRule="auto" w:vSpace="0" w:hSpace="0" w:wrap="auto" w:vAnchor="margin" w:hAnchor="text" w:x="0" w:xAlign="left" w:y="0" w:yAlign="inline"/>
              <w:jc w:val="center"/>
              <w:rPr>
                <w:rFonts w:ascii="Arial" w:hAnsi="Arial"/>
                <w:i w:val="1"/>
                <w:sz w:val="18"/>
              </w:rPr>
            </w:pPr>
            <w:r>
              <w:rPr>
                <w:rFonts w:ascii="Arial" w:hAnsi="Arial"/>
                <w:i w:val="1"/>
                <w:sz w:val="18"/>
              </w:rPr>
              <w:t>Responsi</w:t>
            </w:r>
            <w:r>
              <w:rPr>
                <w:rFonts w:ascii="Arial" w:hAnsi="Arial"/>
                <w:i w:val="1"/>
                <w:sz w:val="18"/>
              </w:rPr>
              <w:t>ble: Dragan Vukmirovi</w:t>
            </w:r>
            <w:r>
              <w:rPr>
                <w:rFonts w:ascii="Arial" w:hAnsi="Arial"/>
                <w:i w:val="1"/>
                <w:sz w:val="18"/>
              </w:rPr>
              <w:t>ć</w:t>
            </w:r>
            <w:r>
              <w:rPr>
                <w:rFonts w:ascii="Arial" w:hAnsi="Arial"/>
                <w:i w:val="1"/>
                <w:sz w:val="18"/>
              </w:rPr>
              <w:t>, PhD, Director</w:t>
            </w:r>
          </w:p>
          <w:p>
            <w:pPr>
              <w:framePr w:w="0" w:h="0" w:hRule="auto" w:vSpace="0" w:hSpace="0" w:wrap="auto" w:vAnchor="margin" w:hAnchor="text" w:x="0" w:xAlign="left" w:y="0" w:yAlign="inline"/>
              <w:jc w:val="center"/>
              <w:rPr>
                <w:i w:val="1"/>
              </w:rPr>
            </w:pPr>
            <w:r>
              <w:rPr>
                <w:rFonts w:ascii="Arial" w:hAnsi="Arial"/>
                <w:i w:val="1"/>
                <w:sz w:val="18"/>
              </w:rPr>
              <w:t>Circulation: 20 ● Issued Quarterly</w:t>
            </w:r>
          </w:p>
        </w:tc>
      </w:tr>
    </w:tbl>
    <w:p>
      <w:pPr>
        <w:ind w:firstLine="720"/>
        <w:jc w:val="both"/>
        <w:rPr>
          <w:sz w:val="20"/>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16"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2"/>
      <w:pBdr>
        <w:top w:val="single" w:sz="4" w:space="0" w:shadow="0" w:frame="0"/>
      </w:pBdr>
      <w:tabs>
        <w:tab w:val="clear" w:pos="8640" w:leader="none"/>
        <w:tab w:val="right" w:pos="9636" w:leader="none"/>
        <w:tab w:val="right" w:pos="10206" w:leader="none"/>
      </w:tabs>
      <w:ind w:firstLine="360" w:right="360"/>
      <w:rPr>
        <w:rFonts w:ascii="Arial" w:hAnsi="Arial"/>
        <w:sz w:val="16"/>
      </w:rPr>
    </w:pPr>
    <w:r>
      <w:rPr>
        <w:rStyle w:val="C4"/>
        <w:rFonts w:ascii="Arial" w:hAnsi="Arial"/>
        <w:sz w:val="16"/>
      </w:rPr>
      <w:tab/>
      <w:t xml:space="preserve">   </w:t>
      <w:tab/>
      <w:t>ИН</w:t>
    </w:r>
    <w:r>
      <w:rPr>
        <w:rFonts w:ascii="Arial" w:hAnsi="Arial"/>
        <w:sz w:val="16"/>
      </w:rPr>
      <w:t>10 260304</w:t>
    </w:r>
    <w:r>
      <w:rPr>
        <w:rStyle w:val="C4"/>
        <w:rFonts w:ascii="Arial" w:hAnsi="Arial"/>
        <w:sz w:val="16"/>
      </w:rPr>
      <w:tab/>
    </w:r>
  </w:p>
  <w:p>
    <w:pPr>
      <w:pStyle w:val="P12"/>
    </w:pPr>
  </w:p>
  <w:p>
    <w:pPr>
      <w:pStyle w:val="P12"/>
      <w:rPr>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2"/>
      <w:pBdr>
        <w:top w:val="single" w:sz="4" w:space="0" w:shadow="0" w:frame="0"/>
      </w:pBdr>
      <w:jc w:val="right"/>
      <w:rPr>
        <w:rFonts w:ascii="Arial" w:hAnsi="Arial"/>
        <w:sz w:val="16"/>
      </w:rPr>
    </w:pPr>
    <w:r>
      <w:rPr>
        <w:rFonts w:ascii="Arial" w:hAnsi="Arial"/>
        <w:sz w:val="16"/>
      </w:rPr>
      <w:t>SERB229 GR11 150813</w:t>
    </w:r>
  </w:p>
</w:ftr>
</file>

<file path=word/numbering.xml><?xml version="1.0" encoding="utf-8"?>
<w:numbering xmlns:w="http://schemas.openxmlformats.org/wordprocessingml/2006/main">
  <w:abstractNum w:abstractNumId="0">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49322F7"/>
    <w:multiLevelType w:val="hybridMultilevel"/>
    <w:lvl w:ilvl="0" w:tplc="70A9CDF6">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2F2BB06F">
      <w:start w:val="1"/>
      <w:numFmt w:val="bullet"/>
      <w:suff w:val="tab"/>
      <w:lvlText w:val=""/>
      <w:lvlJc w:val="left"/>
      <w:pPr>
        <w:ind w:hanging="360" w:left="540"/>
        <w:tabs>
          <w:tab w:val="left" w:pos="540" w:leader="none"/>
        </w:tabs>
      </w:pPr>
      <w:rPr>
        <w:rFonts w:ascii="Symbol" w:hAnsi="Symbol"/>
      </w:rPr>
    </w:lvl>
    <w:lvl w:ilvl="3" w:tplc="7D6B2A13">
      <w:start w:val="1"/>
      <w:numFmt w:val="bullet"/>
      <w:suff w:val="tab"/>
      <w:lvlText w:val=""/>
      <w:lvlJc w:val="left"/>
      <w:pPr>
        <w:ind w:hanging="360" w:left="2880"/>
        <w:tabs>
          <w:tab w:val="left" w:pos="2880" w:leader="none"/>
        </w:tabs>
      </w:pPr>
      <w:rPr>
        <w:rFonts w:ascii="Symbol" w:hAnsi="Symbol"/>
      </w:rPr>
    </w:lvl>
    <w:lvl w:ilvl="4" w:tplc="74EEA46B">
      <w:start w:val="1"/>
      <w:numFmt w:val="bullet"/>
      <w:suff w:val="tab"/>
      <w:lvlText w:val="o"/>
      <w:lvlJc w:val="left"/>
      <w:pPr>
        <w:ind w:hanging="360" w:left="3600"/>
        <w:tabs>
          <w:tab w:val="left" w:pos="3600" w:leader="none"/>
        </w:tabs>
      </w:pPr>
      <w:rPr>
        <w:rFonts w:ascii="Courier New" w:hAnsi="Courier New"/>
      </w:rPr>
    </w:lvl>
    <w:lvl w:ilvl="5" w:tplc="31602041">
      <w:start w:val="1"/>
      <w:numFmt w:val="bullet"/>
      <w:suff w:val="tab"/>
      <w:lvlText w:val=""/>
      <w:lvlJc w:val="left"/>
      <w:pPr>
        <w:ind w:hanging="360" w:left="4320"/>
        <w:tabs>
          <w:tab w:val="left" w:pos="4320" w:leader="none"/>
        </w:tabs>
      </w:pPr>
      <w:rPr>
        <w:rFonts w:ascii="Wingdings" w:hAnsi="Wingdings"/>
      </w:rPr>
    </w:lvl>
    <w:lvl w:ilvl="6" w:tplc="0D97225C">
      <w:start w:val="1"/>
      <w:numFmt w:val="bullet"/>
      <w:suff w:val="tab"/>
      <w:lvlText w:val=""/>
      <w:lvlJc w:val="left"/>
      <w:pPr>
        <w:ind w:hanging="360" w:left="5040"/>
        <w:tabs>
          <w:tab w:val="left" w:pos="5040" w:leader="none"/>
        </w:tabs>
      </w:pPr>
      <w:rPr>
        <w:rFonts w:ascii="Symbol" w:hAnsi="Symbol"/>
      </w:rPr>
    </w:lvl>
    <w:lvl w:ilvl="7" w:tplc="0997ED3C">
      <w:start w:val="1"/>
      <w:numFmt w:val="bullet"/>
      <w:suff w:val="tab"/>
      <w:lvlText w:val="o"/>
      <w:lvlJc w:val="left"/>
      <w:pPr>
        <w:ind w:hanging="360" w:left="5760"/>
        <w:tabs>
          <w:tab w:val="left" w:pos="5760" w:leader="none"/>
        </w:tabs>
      </w:pPr>
      <w:rPr>
        <w:rFonts w:ascii="Courier New" w:hAnsi="Courier New"/>
      </w:rPr>
    </w:lvl>
    <w:lvl w:ilvl="8" w:tplc="7A9566E7">
      <w:start w:val="1"/>
      <w:numFmt w:val="bullet"/>
      <w:suff w:val="tab"/>
      <w:lvlText w:val=""/>
      <w:lvlJc w:val="left"/>
      <w:pPr>
        <w:ind w:hanging="360" w:left="6480"/>
        <w:tabs>
          <w:tab w:val="left" w:pos="648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342414F2"/>
    <w:multiLevelType w:val="hybridMultilevel"/>
    <w:lvl w:ilvl="0" w:tplc="7B4B79C4">
      <w:start w:val="1"/>
      <w:numFmt w:val="bullet"/>
      <w:suff w:val="tab"/>
      <w:lvlText w:val="–"/>
      <w:lvlJc w:val="left"/>
      <w:pPr>
        <w:ind w:hanging="360" w:left="507"/>
        <w:tabs>
          <w:tab w:val="left" w:pos="507" w:leader="none"/>
        </w:tabs>
      </w:pPr>
      <w:rPr>
        <w:rFonts w:ascii="Times New Roman" w:hAnsi="Times New Roman"/>
      </w:rPr>
    </w:lvl>
    <w:lvl w:ilvl="1" w:tplc="403969FF">
      <w:start w:val="1"/>
      <w:numFmt w:val="bullet"/>
      <w:suff w:val="tab"/>
      <w:lvlText w:val="o"/>
      <w:lvlJc w:val="left"/>
      <w:pPr>
        <w:ind w:hanging="360" w:left="1227"/>
        <w:tabs>
          <w:tab w:val="left" w:pos="1227" w:leader="none"/>
        </w:tabs>
      </w:pPr>
      <w:rPr>
        <w:rFonts w:ascii="Courier New" w:hAnsi="Courier New"/>
      </w:rPr>
    </w:lvl>
    <w:lvl w:ilvl="2" w:tplc="28B141AC">
      <w:start w:val="1"/>
      <w:numFmt w:val="bullet"/>
      <w:suff w:val="tab"/>
      <w:lvlText w:val=""/>
      <w:lvlJc w:val="left"/>
      <w:pPr>
        <w:ind w:hanging="360" w:left="1947"/>
        <w:tabs>
          <w:tab w:val="left" w:pos="1947" w:leader="none"/>
        </w:tabs>
      </w:pPr>
      <w:rPr>
        <w:rFonts w:ascii="Wingdings" w:hAnsi="Wingdings"/>
      </w:rPr>
    </w:lvl>
    <w:lvl w:ilvl="3" w:tplc="263AEF2B">
      <w:start w:val="1"/>
      <w:numFmt w:val="bullet"/>
      <w:suff w:val="tab"/>
      <w:lvlText w:val=""/>
      <w:lvlJc w:val="left"/>
      <w:pPr>
        <w:ind w:hanging="360" w:left="2667"/>
        <w:tabs>
          <w:tab w:val="left" w:pos="2667" w:leader="none"/>
        </w:tabs>
      </w:pPr>
      <w:rPr>
        <w:rFonts w:ascii="Symbol" w:hAnsi="Symbol"/>
      </w:rPr>
    </w:lvl>
    <w:lvl w:ilvl="4" w:tplc="2466D2C7">
      <w:start w:val="1"/>
      <w:numFmt w:val="bullet"/>
      <w:suff w:val="tab"/>
      <w:lvlText w:val="o"/>
      <w:lvlJc w:val="left"/>
      <w:pPr>
        <w:ind w:hanging="360" w:left="3387"/>
        <w:tabs>
          <w:tab w:val="left" w:pos="3387" w:leader="none"/>
        </w:tabs>
      </w:pPr>
      <w:rPr>
        <w:rFonts w:ascii="Courier New" w:hAnsi="Courier New"/>
      </w:rPr>
    </w:lvl>
    <w:lvl w:ilvl="5" w:tplc="6DB9D384">
      <w:start w:val="1"/>
      <w:numFmt w:val="bullet"/>
      <w:suff w:val="tab"/>
      <w:lvlText w:val=""/>
      <w:lvlJc w:val="left"/>
      <w:pPr>
        <w:ind w:hanging="360" w:left="4107"/>
        <w:tabs>
          <w:tab w:val="left" w:pos="4107" w:leader="none"/>
        </w:tabs>
      </w:pPr>
      <w:rPr>
        <w:rFonts w:ascii="Wingdings" w:hAnsi="Wingdings"/>
      </w:rPr>
    </w:lvl>
    <w:lvl w:ilvl="6" w:tplc="112FA444">
      <w:start w:val="1"/>
      <w:numFmt w:val="bullet"/>
      <w:suff w:val="tab"/>
      <w:lvlText w:val=""/>
      <w:lvlJc w:val="left"/>
      <w:pPr>
        <w:ind w:hanging="360" w:left="4827"/>
        <w:tabs>
          <w:tab w:val="left" w:pos="4827" w:leader="none"/>
        </w:tabs>
      </w:pPr>
      <w:rPr>
        <w:rFonts w:ascii="Symbol" w:hAnsi="Symbol"/>
      </w:rPr>
    </w:lvl>
    <w:lvl w:ilvl="7" w:tplc="45C72494">
      <w:start w:val="1"/>
      <w:numFmt w:val="bullet"/>
      <w:suff w:val="tab"/>
      <w:lvlText w:val="o"/>
      <w:lvlJc w:val="left"/>
      <w:pPr>
        <w:ind w:hanging="360" w:left="5547"/>
        <w:tabs>
          <w:tab w:val="left" w:pos="5547" w:leader="none"/>
        </w:tabs>
      </w:pPr>
      <w:rPr>
        <w:rFonts w:ascii="Courier New" w:hAnsi="Courier New"/>
      </w:rPr>
    </w:lvl>
    <w:lvl w:ilvl="8" w:tplc="1B7591EE">
      <w:start w:val="1"/>
      <w:numFmt w:val="bullet"/>
      <w:suff w:val="tab"/>
      <w:lvlText w:val=""/>
      <w:lvlJc w:val="left"/>
      <w:pPr>
        <w:ind w:hanging="360" w:left="6267"/>
        <w:tabs>
          <w:tab w:val="left" w:pos="6267" w:leader="none"/>
        </w:tabs>
      </w:pPr>
      <w:rPr>
        <w:rFonts w:ascii="Wingdings" w:hAnsi="Wingdings"/>
      </w:rPr>
    </w:lvl>
  </w:abstractNum>
  <w:abstractNum w:abstractNumId="4">
    <w:nsid w:val="40D735A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5DF554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7E571AD5"/>
    <w:multiLevelType w:val="hybridMultilevel"/>
    <w:lvl w:ilvl="0" w:tplc="0797E8EE">
      <w:start w:val="0"/>
      <w:numFmt w:val="bullet"/>
      <w:suff w:val="tab"/>
      <w:lvlText w:val="-"/>
      <w:lvlJc w:val="left"/>
      <w:pPr>
        <w:ind w:hanging="360" w:left="720"/>
        <w:tabs>
          <w:tab w:val="left" w:pos="720" w:leader="none"/>
        </w:tabs>
      </w:pPr>
      <w:rPr>
        <w:rFonts w:ascii="Times New Roman" w:hAnsi="Times New Roman"/>
        <w:b w:val="1"/>
      </w:rPr>
    </w:lvl>
    <w:lvl w:ilvl="1" w:tplc="698D7D1E">
      <w:start w:val="1"/>
      <w:numFmt w:val="bullet"/>
      <w:suff w:val="tab"/>
      <w:lvlText w:val="o"/>
      <w:lvlJc w:val="left"/>
      <w:pPr>
        <w:ind w:hanging="360" w:left="1440"/>
        <w:tabs>
          <w:tab w:val="left" w:pos="1440" w:leader="none"/>
        </w:tabs>
      </w:pPr>
      <w:rPr>
        <w:rFonts w:ascii="Courier New" w:hAnsi="Courier New"/>
      </w:rPr>
    </w:lvl>
    <w:lvl w:ilvl="2" w:tplc="4C71A237">
      <w:start w:val="1"/>
      <w:numFmt w:val="bullet"/>
      <w:suff w:val="tab"/>
      <w:lvlText w:val=""/>
      <w:lvlJc w:val="left"/>
      <w:pPr>
        <w:ind w:hanging="360" w:left="2160"/>
        <w:tabs>
          <w:tab w:val="left" w:pos="2160" w:leader="none"/>
        </w:tabs>
      </w:pPr>
      <w:rPr>
        <w:rFonts w:ascii="Wingdings" w:hAnsi="Wingdings"/>
      </w:rPr>
    </w:lvl>
    <w:lvl w:ilvl="3" w:tplc="4F1DF4E8">
      <w:start w:val="1"/>
      <w:numFmt w:val="bullet"/>
      <w:suff w:val="tab"/>
      <w:lvlText w:val=""/>
      <w:lvlJc w:val="left"/>
      <w:pPr>
        <w:ind w:hanging="360" w:left="2880"/>
        <w:tabs>
          <w:tab w:val="left" w:pos="2880" w:leader="none"/>
        </w:tabs>
      </w:pPr>
      <w:rPr>
        <w:rFonts w:ascii="Symbol" w:hAnsi="Symbol"/>
      </w:rPr>
    </w:lvl>
    <w:lvl w:ilvl="4" w:tplc="472A040B">
      <w:start w:val="1"/>
      <w:numFmt w:val="bullet"/>
      <w:suff w:val="tab"/>
      <w:lvlText w:val="o"/>
      <w:lvlJc w:val="left"/>
      <w:pPr>
        <w:ind w:hanging="360" w:left="3600"/>
        <w:tabs>
          <w:tab w:val="left" w:pos="3600" w:leader="none"/>
        </w:tabs>
      </w:pPr>
      <w:rPr>
        <w:rFonts w:ascii="Courier New" w:hAnsi="Courier New"/>
      </w:rPr>
    </w:lvl>
    <w:lvl w:ilvl="5" w:tplc="1D45457F">
      <w:start w:val="1"/>
      <w:numFmt w:val="bullet"/>
      <w:suff w:val="tab"/>
      <w:lvlText w:val=""/>
      <w:lvlJc w:val="left"/>
      <w:pPr>
        <w:ind w:hanging="360" w:left="4320"/>
        <w:tabs>
          <w:tab w:val="left" w:pos="4320" w:leader="none"/>
        </w:tabs>
      </w:pPr>
      <w:rPr>
        <w:rFonts w:ascii="Wingdings" w:hAnsi="Wingdings"/>
      </w:rPr>
    </w:lvl>
    <w:lvl w:ilvl="6" w:tplc="1B56FD89">
      <w:start w:val="1"/>
      <w:numFmt w:val="bullet"/>
      <w:suff w:val="tab"/>
      <w:lvlText w:val=""/>
      <w:lvlJc w:val="left"/>
      <w:pPr>
        <w:ind w:hanging="360" w:left="5040"/>
        <w:tabs>
          <w:tab w:val="left" w:pos="5040" w:leader="none"/>
        </w:tabs>
      </w:pPr>
      <w:rPr>
        <w:rFonts w:ascii="Symbol" w:hAnsi="Symbol"/>
      </w:rPr>
    </w:lvl>
    <w:lvl w:ilvl="7" w:tplc="1519FEF0">
      <w:start w:val="1"/>
      <w:numFmt w:val="bullet"/>
      <w:suff w:val="tab"/>
      <w:lvlText w:val="o"/>
      <w:lvlJc w:val="left"/>
      <w:pPr>
        <w:ind w:hanging="360" w:left="5760"/>
        <w:tabs>
          <w:tab w:val="left" w:pos="5760" w:leader="none"/>
        </w:tabs>
      </w:pPr>
      <w:rPr>
        <w:rFonts w:ascii="Courier New" w:hAnsi="Courier New"/>
      </w:rPr>
    </w:lvl>
    <w:lvl w:ilvl="8" w:tplc="1347ACAA">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8"/>
    <w:basedOn w:val="P0"/>
    <w:next w:val="P0"/>
    <w:pPr>
      <w:keepNext w:val="1"/>
      <w:spacing w:before="80" w:after="80"/>
      <w:jc w:val="center"/>
      <w:outlineLvl w:val="7"/>
    </w:pPr>
    <w:rPr>
      <w:rFonts w:ascii="Arial" w:hAnsi="Arial"/>
      <w:b w:val="1"/>
      <w:sz w:val="16"/>
    </w:rPr>
  </w:style>
  <w:style w:type="paragraph" w:styleId="P9">
    <w:name w:val="Footnote Text"/>
    <w:basedOn w:val="P0"/>
    <w:next w:val="P9"/>
    <w:pPr/>
    <w:rPr>
      <w:sz w:val="20"/>
    </w:rPr>
  </w:style>
  <w:style w:type="paragraph" w:styleId="P10">
    <w:name w:val="Header"/>
    <w:basedOn w:val="P0"/>
    <w:next w:val="P10"/>
    <w:pPr>
      <w:tabs>
        <w:tab w:val="center" w:pos="4320" w:leader="none"/>
        <w:tab w:val="right" w:pos="8640" w:leader="none"/>
      </w:tabs>
    </w:pPr>
    <w:rPr/>
  </w:style>
  <w:style w:type="paragraph" w:styleId="P11">
    <w:name w:val="Body Text"/>
    <w:basedOn w:val="P0"/>
    <w:next w:val="P11"/>
    <w:pPr>
      <w:tabs>
        <w:tab w:val="left" w:pos="142" w:leader="none"/>
      </w:tabs>
      <w:jc w:val="both"/>
    </w:pPr>
    <w:rPr>
      <w:rFonts w:ascii="Arial" w:hAnsi="Arial"/>
      <w:sz w:val="22"/>
    </w:rPr>
  </w:style>
  <w:style w:type="paragraph" w:styleId="P12">
    <w:name w:val="Footer"/>
    <w:basedOn w:val="P0"/>
    <w:next w:val="P12"/>
    <w:pPr>
      <w:tabs>
        <w:tab w:val="center" w:pos="4320" w:leader="none"/>
        <w:tab w:val="right" w:pos="8640" w:leader="none"/>
      </w:tabs>
    </w:pPr>
    <w:rPr/>
  </w:style>
  <w:style w:type="paragraph" w:styleId="P13">
    <w:name w:val="Body Text 2"/>
    <w:basedOn w:val="P0"/>
    <w:next w:val="P13"/>
    <w:pPr>
      <w:tabs>
        <w:tab w:val="left" w:pos="142" w:leader="none"/>
      </w:tabs>
      <w:jc w:val="both"/>
    </w:pPr>
    <w:rPr>
      <w:rFonts w:ascii="Arial" w:hAnsi="Arial"/>
    </w:rPr>
  </w:style>
  <w:style w:type="paragraph" w:styleId="P14">
    <w:name w:val="Body Text 3"/>
    <w:basedOn w:val="P0"/>
    <w:next w:val="P14"/>
    <w:pPr>
      <w:framePr w:wrap="around" w:vAnchor="text" w:hAnchor="margin" w:y="121"/>
      <w:jc w:val="center"/>
    </w:pPr>
    <w:rPr>
      <w:rFonts w:ascii="Arial" w:hAnsi="Arial"/>
      <w:sz w:val="16"/>
    </w:rPr>
  </w:style>
  <w:style w:type="paragraph" w:styleId="P15">
    <w:name w:val="Balloon Text"/>
    <w:basedOn w:val="P0"/>
    <w:next w:val="P15"/>
    <w:pPr/>
    <w:rPr>
      <w:rFonts w:ascii="Tahoma" w:hAnsi="Tahoma"/>
      <w:sz w:val="16"/>
    </w:rPr>
  </w:style>
  <w:style w:type="paragraph" w:styleId="P16">
    <w:name w:val=" Char Char Char Char Char1 Char"/>
    <w:basedOn w:val="P0"/>
    <w:next w:val="P16"/>
    <w:link w:val="C0"/>
    <w:pPr>
      <w:tabs>
        <w:tab w:val="left" w:pos="567" w:leader="none"/>
      </w:tabs>
      <w:spacing w:lineRule="exact" w:line="240" w:before="120" w:after="160"/>
      <w:ind w:hanging="504" w:left="1584"/>
    </w:pPr>
    <w:rPr>
      <w:rFonts w:ascii="Arial" w:hAnsi="Arial"/>
      <w:b w:val="1"/>
      <w:color w:val="000000"/>
    </w:rPr>
  </w:style>
  <w:style w:type="paragraph" w:styleId="P17">
    <w:name w:val="Car Car"/>
    <w:basedOn w:val="P0"/>
    <w:next w:val="P17"/>
    <w:pPr>
      <w:spacing w:lineRule="exact" w:line="240" w:after="160"/>
    </w:pPr>
    <w:rPr>
      <w:rFonts w:ascii="Verdana" w:hAnsi="Verdana"/>
      <w:i w:val="1"/>
      <w:sz w:val="20"/>
    </w:rPr>
  </w:style>
  <w:style w:type="paragraph" w:styleId="P18">
    <w:name w:val="List Number"/>
    <w:basedOn w:val="P0"/>
    <w:next w:val="P18"/>
    <w:pPr>
      <w:numPr>
        <w:numId w:val="5"/>
      </w:numPr>
    </w:pPr>
    <w:rPr>
      <w:rFonts w:ascii="Arial" w:hAnsi="Arial"/>
      <w:sz w:val="20"/>
    </w:rPr>
  </w:style>
  <w:style w:type="paragraph" w:styleId="P19">
    <w:name w:val="Body Text Indent 2"/>
    <w:basedOn w:val="P0"/>
    <w:next w:val="P19"/>
    <w:pPr>
      <w:spacing w:lineRule="auto" w:line="480" w:after="120"/>
      <w:ind w:left="283"/>
    </w:pPr>
    <w:rPr/>
  </w:style>
  <w:style w:type="paragraph" w:styleId="P20">
    <w:name w:val="Naslov tabela"/>
    <w:basedOn w:val="P0"/>
    <w:next w:val="P20"/>
    <w:pPr>
      <w:tabs>
        <w:tab w:val="left" w:pos="284" w:leader="none"/>
        <w:tab w:val="clear" w:pos="360" w:leader="none"/>
      </w:tabs>
      <w:spacing w:before="120" w:after="120"/>
      <w:ind w:hanging="284" w:left="284"/>
      <w:jc w:val="center"/>
    </w:pPr>
    <w:rPr>
      <w:rFonts w:ascii="Arial" w:hAnsi="Arial"/>
      <w:b w:val="1"/>
      <w:sz w:val="20"/>
    </w:rPr>
  </w:style>
  <w:style w:type="paragraph" w:styleId="P21">
    <w:name w:val="Paragraph Numbering"/>
    <w:basedOn w:val="P0"/>
    <w:next w:val="P21"/>
    <w:pPr>
      <w:numPr>
        <w:numId w:val="6"/>
      </w:numPr>
      <w:spacing w:after="240"/>
    </w:pPr>
    <w:rPr/>
  </w:style>
  <w:style w:type="paragraph" w:styleId="P22">
    <w:name w:val="Podnaslov sopstenja"/>
    <w:basedOn w:val="P0"/>
    <w:next w:val="P22"/>
    <w:pPr>
      <w:spacing w:after="120"/>
      <w:jc w:val="center"/>
    </w:pPr>
    <w:rPr>
      <w:rFonts w:ascii="Arial" w:hAnsi="Arial"/>
      <w:b w:val="1"/>
      <w:sz w:val="22"/>
    </w:rPr>
  </w:style>
  <w:style w:type="paragraph" w:styleId="P23">
    <w:name w:val="Title"/>
    <w:basedOn w:val="P0"/>
    <w:next w:val="P23"/>
    <w:pPr>
      <w:spacing w:before="240" w:after="60"/>
      <w:jc w:val="center"/>
      <w:outlineLvl w:val="0"/>
    </w:pPr>
    <w:rPr>
      <w:rFonts w:ascii="Arial" w:hAnsi="Arial"/>
      <w:b w:val="1"/>
      <w:sz w:val="32"/>
    </w:rPr>
  </w:style>
  <w:style w:type="paragraph" w:styleId="P24">
    <w:name w:val="Caption"/>
    <w:basedOn w:val="P0"/>
    <w:next w:val="P0"/>
    <w:pPr/>
    <w:rPr>
      <w:b w:val="1"/>
      <w:sz w:val="20"/>
    </w:rPr>
  </w:style>
  <w:style w:type="paragraph" w:styleId="P25">
    <w:name w:val="Body Text First Indent"/>
    <w:basedOn w:val="P11"/>
    <w:next w:val="P25"/>
    <w:pPr>
      <w:tabs>
        <w:tab w:val="clear" w:pos="142" w:leader="none"/>
      </w:tabs>
      <w:spacing w:after="120"/>
      <w:ind w:firstLine="210"/>
      <w:jc w:val="left"/>
    </w:pPr>
    <w:rPr>
      <w:rFonts w:ascii="Times New Roman" w:hAnsi="Times New Roman"/>
      <w:sz w:val="24"/>
    </w:rPr>
  </w:style>
  <w:style w:type="paragraph" w:styleId="P26">
    <w:name w:val="Naslov saopstenja"/>
    <w:basedOn w:val="P23"/>
    <w:next w:val="P24"/>
    <w:pPr>
      <w:spacing w:after="0"/>
    </w:pPr>
    <w:rPr>
      <w:sz w:val="24"/>
    </w:rPr>
  </w:style>
  <w:style w:type="paragraph" w:styleId="P27">
    <w:name w:val="Tekst Metodologija i Napomena"/>
    <w:basedOn w:val="P25"/>
    <w:next w:val="P11"/>
    <w:pPr>
      <w:spacing w:before="120" w:after="0"/>
      <w:ind w:firstLine="397"/>
      <w:jc w:val="both"/>
    </w:pPr>
    <w:rPr>
      <w:rFonts w:ascii="Arial" w:hAnsi="Arial"/>
      <w:sz w:val="20"/>
    </w:rPr>
  </w:style>
  <w:style w:type="character" w:styleId="C0" w:default="1">
    <w:name w:val="Default Paragraph Font"/>
    <w:link w:val="P16"/>
    <w:semiHidden/>
    <w:rPr>
      <w:rFonts w:ascii="Arial" w:hAnsi="Arial"/>
      <w:b w:val="1"/>
      <w:color w:val="00000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mphasis"/>
    <w:basedOn w:val="C0"/>
    <w:rPr>
      <w:i w:val="1"/>
    </w:rPr>
  </w:style>
  <w:style w:type="character" w:styleId="C6">
    <w:name w:val="Strong"/>
    <w:basedOn w:val="C0"/>
    <w:rPr>
      <w:b w:val="1"/>
    </w:rPr>
  </w:style>
  <w:style w:type="character" w:styleId="C7">
    <w:name w:val="short_text1"/>
    <w:basedOn w:val="C0"/>
    <w:rPr>
      <w:sz w:val="14"/>
    </w:rPr>
  </w:style>
  <w:style w:type="character" w:styleId="C8">
    <w:name w:val="long_text1"/>
    <w:basedOn w:val="C0"/>
    <w:rPr>
      <w:sz w:val="10"/>
    </w:rPr>
  </w:style>
  <w:style w:type="character" w:styleId="C9">
    <w:name w:val="medium_text1"/>
    <w:basedOn w:val="C0"/>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2013-05-15T07:13:00Z</dcterms:created>
  <cp:lastModifiedBy>Nikola Kapetanovic</cp:lastModifiedBy>
  <cp:lastPrinted>2013-05-15T11:36:00Z</cp:lastPrinted>
  <dcterms:modified xsi:type="dcterms:W3CDTF">2020-01-10T11:42:36Z</dcterms:modified>
  <cp:revision>20</cp:revision>
  <dc:title>Република Србија</dc:title>
</cp:coreProperties>
</file>