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D108B38" Type="http://schemas.openxmlformats.org/officeDocument/2006/relationships/officeDocument" Target="/word/document.xml" /><Relationship Id="coreR6D108B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SV22</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217 • Year LXIII, 30/08/2013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Statistics of Transport and Communications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rPr>
            </w:pPr>
            <w:r>
              <w:rPr>
                <w:b w:val="0"/>
                <w:sz w:val="20"/>
              </w:rPr>
              <w:t>SERB</w:t>
            </w:r>
            <w:r>
              <w:rPr>
                <w:b w:val="0"/>
                <w:sz w:val="20"/>
              </w:rPr>
              <w:t>217</w:t>
            </w:r>
            <w:r>
              <w:rPr>
                <w:b w:val="0"/>
                <w:sz w:val="20"/>
              </w:rPr>
              <w:t xml:space="preserve"> </w:t>
            </w:r>
            <w:r>
              <w:rPr>
                <w:b w:val="0"/>
                <w:sz w:val="20"/>
              </w:rPr>
              <w:t xml:space="preserve">SV22 </w:t>
            </w:r>
            <w:r>
              <w:rPr>
                <w:b w:val="0"/>
                <w:sz w:val="20"/>
              </w:rPr>
              <w:t>3</w:t>
            </w:r>
            <w:r>
              <w:rPr>
                <w:b w:val="0"/>
                <w:sz w:val="20"/>
              </w:rPr>
              <w:t>0</w:t>
            </w:r>
            <w:r>
              <w:rPr>
                <w:b w:val="0"/>
                <w:sz w:val="20"/>
              </w:rPr>
              <w:t>0</w:t>
            </w:r>
            <w:r>
              <w:rPr>
                <w:b w:val="0"/>
                <w:sz w:val="20"/>
              </w:rPr>
              <w:t>8</w:t>
            </w:r>
            <w:r>
              <w:rPr>
                <w:b w:val="0"/>
                <w:sz w:val="20"/>
              </w:rPr>
              <w:t>13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rPr>
            </w:pPr>
          </w:p>
        </w:tc>
      </w:tr>
    </w:tbl>
    <w:p/>
    <w:p>
      <w:pPr>
        <w:pStyle w:val="P8"/>
        <w:rPr>
          <w:sz w:val="24"/>
        </w:rPr>
      </w:pPr>
      <w:r>
        <w:rPr>
          <w:sz w:val="24"/>
        </w:rPr>
        <w:t xml:space="preserve">First time registered road motor vehicles and trailers and </w:t>
      </w:r>
    </w:p>
    <w:p>
      <w:pPr>
        <w:pStyle w:val="P6"/>
        <w:rPr>
          <w:sz w:val="24"/>
        </w:rPr>
      </w:pPr>
      <w:r>
        <w:rPr>
          <w:sz w:val="24"/>
        </w:rPr>
        <w:t>injury road accidents in the Republic of Serbia</w:t>
      </w:r>
    </w:p>
    <w:p>
      <w:pPr>
        <w:pStyle w:val="P6"/>
        <w:spacing w:before="240" w:after="240"/>
        <w:rPr>
          <w:sz w:val="22"/>
        </w:rPr>
      </w:pPr>
      <w:r>
        <w:rPr>
          <w:sz w:val="22"/>
        </w:rPr>
        <w:t xml:space="preserve">- II quarter 2013 -  </w:t>
      </w:r>
    </w:p>
    <w:p>
      <w:pPr>
        <w:pStyle w:val="P13"/>
        <w:spacing w:before="120"/>
        <w:ind w:firstLine="397" w:left="0"/>
        <w:rPr>
          <w:sz w:val="20"/>
        </w:rPr>
      </w:pPr>
      <w:r>
        <w:rPr>
          <w:color w:val="000000"/>
          <w:sz w:val="20"/>
        </w:rPr>
        <w:t>During the 2</w:t>
      </w:r>
      <w:r>
        <w:rPr>
          <w:color w:val="000000"/>
          <w:sz w:val="20"/>
          <w:vertAlign w:val="superscript"/>
        </w:rPr>
        <w:t>nd</w:t>
      </w:r>
      <w:r>
        <w:rPr>
          <w:color w:val="000000"/>
          <w:sz w:val="20"/>
        </w:rPr>
        <w:t xml:space="preserve"> quarter of 2013, in the Republic of Serbia, it can be noted that number of first time registered road motor vehicles increased, excluding mopeds, road tractors, motocultivators and trailers and semi-trailers.  Observing the database, it can be concluded that 66.1% of trailers was of the capacity below 1000 kg and it corresponds, by capacity, to trailers intended for passengers’ vehicles. The greatest number of road motor vehicles was produced by the following manufacturers: Zastava (domestic</w:t>
      </w:r>
      <w:r>
        <w:rPr>
          <w:sz w:val="20"/>
        </w:rPr>
        <w:t xml:space="preserve"> trademark) and Fiat, Renault, Opel, and VW (foreign trademarks).</w:t>
      </w:r>
      <w:r>
        <w:rPr>
          <w:sz w:val="18"/>
        </w:rPr>
        <w:t xml:space="preserve"> </w:t>
      </w:r>
    </w:p>
    <w:p>
      <w:pPr>
        <w:pStyle w:val="P13"/>
        <w:ind w:firstLine="397" w:left="0"/>
        <w:rPr>
          <w:sz w:val="20"/>
        </w:rPr>
      </w:pPr>
      <w:r>
        <w:rPr>
          <w:sz w:val="20"/>
        </w:rPr>
        <w:t xml:space="preserve">Based on the results, it can be concluded that the most frequent number of freight vehicles was of the capacity from 1500 to 4999 kg, as well as that the greatest number of such vehicles was with Euro-diesel motor energy, indicating the rejuvenation of the fleet that is in accordance with the latest European regulations.   </w:t>
      </w:r>
    </w:p>
    <w:p>
      <w:pPr>
        <w:pStyle w:val="P13"/>
        <w:ind w:firstLine="397" w:left="0"/>
        <w:rPr>
          <w:sz w:val="20"/>
        </w:rPr>
      </w:pPr>
      <w:r>
        <w:rPr>
          <w:sz w:val="20"/>
        </w:rPr>
        <w:t>Regarding the recently manufactured passengers’ vehicles, number of vehicles with petrol and diesel motor energy was almost equal, and the most dominant were the vehicles of the engine size of up to 2000 cm</w:t>
      </w:r>
      <w:r>
        <w:rPr>
          <w:sz w:val="20"/>
          <w:vertAlign w:val="superscript"/>
        </w:rPr>
        <w:t>3</w:t>
      </w:r>
      <w:r>
        <w:rPr>
          <w:sz w:val="20"/>
        </w:rPr>
        <w:t xml:space="preserve">.  </w:t>
      </w:r>
    </w:p>
    <w:p>
      <w:pPr>
        <w:pStyle w:val="P13"/>
        <w:spacing w:before="120" w:after="120"/>
        <w:ind w:firstLine="397" w:left="0"/>
        <w:rPr>
          <w:sz w:val="20"/>
        </w:rPr>
      </w:pPr>
      <w:r>
        <w:rPr>
          <w:sz w:val="20"/>
        </w:rPr>
        <w:t xml:space="preserve">Total number of injury road accidents in the second quarter of 2013 increased by 0.4%, when compared to the same period 2012. Increase of injury road accidents with injured persons outside built-up areas amounted to 9.5%. </w:t>
      </w:r>
    </w:p>
    <w:p>
      <w:pPr>
        <w:pStyle w:val="P13"/>
        <w:spacing w:before="120" w:after="120"/>
        <w:ind w:firstLine="397" w:left="0"/>
        <w:rPr>
          <w:sz w:val="20"/>
        </w:rPr>
      </w:pPr>
      <w:r>
        <w:rPr>
          <w:sz w:val="20"/>
        </w:rPr>
        <w:t xml:space="preserve">Number of casualties in the second quarter of 2013 was decreased by 0.6%, respective to the same period 2012, while number of injured persons outside built-up areas increased by 17.9%. </w:t>
      </w:r>
    </w:p>
    <w:p>
      <w:pPr>
        <w:pStyle w:val="P13"/>
        <w:spacing w:before="120" w:after="120"/>
        <w:ind w:firstLine="720" w:left="0"/>
        <w:rPr>
          <w:sz w:val="18"/>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457200</wp:posOffset>
                </wp:positionH>
                <wp:positionV relativeFrom="paragraph">
                  <wp:posOffset>165735</wp:posOffset>
                </wp:positionV>
                <wp:extent cx="5391150" cy="412750"/>
                <wp:wrapNone/>
                <wp:docPr id="2" name="Text Box 2"/>
                <a:graphic xmlns:a="http://schemas.openxmlformats.org/drawingml/2006/main">
                  <a:graphicData uri="http://schemas.microsoft.com/office/word/2010/wordprocessingShape">
                    <wps:wsp>
                      <wps:cNvSpPr/>
                      <wps:spPr>
                        <a:xfrm>
                          <a:off x="0" y="0"/>
                          <a:ext cx="5391150" cy="412750"/>
                        </a:xfrm>
                        <a:prstGeom prst="rect"/>
                      </wps:spPr>
                      <wps:txbx>
                        <w:txbxContent>
                          <w:p>
                            <w:pPr>
                              <w:jc w:val="center"/>
                              <w:rPr>
                                <w:rFonts w:ascii="Arial" w:hAnsi="Arial"/>
                                <w:b w:val="1"/>
                                <w:sz w:val="20"/>
                              </w:rPr>
                            </w:pPr>
                            <w:r>
                              <w:rPr>
                                <w:rFonts w:ascii="Arial" w:hAnsi="Arial"/>
                                <w:b w:val="1"/>
                                <w:sz w:val="20"/>
                              </w:rPr>
                              <w:t>Age structure</w:t>
                            </w:r>
                            <w:r>
                              <w:rPr>
                                <w:rFonts w:ascii="Arial" w:hAnsi="Arial"/>
                                <w:b w:val="1"/>
                                <w:sz w:val="20"/>
                              </w:rPr>
                              <w:t xml:space="preserve"> of first time registered</w:t>
                            </w:r>
                            <w:r>
                              <w:rPr>
                                <w:rFonts w:ascii="Arial" w:hAnsi="Arial"/>
                                <w:b w:val="1"/>
                                <w:sz w:val="20"/>
                              </w:rPr>
                              <w:t xml:space="preserve"> road motor vehicles </w:t>
                            </w:r>
                          </w:p>
                          <w:p>
                            <w:pPr>
                              <w:jc w:val="center"/>
                              <w:rPr>
                                <w:rFonts w:ascii="Arial" w:hAnsi="Arial"/>
                                <w:b w:val="1"/>
                                <w:sz w:val="20"/>
                              </w:rPr>
                            </w:pPr>
                            <w:r>
                              <w:rPr>
                                <w:rFonts w:ascii="Arial" w:hAnsi="Arial"/>
                                <w:b w:val="1"/>
                                <w:sz w:val="20"/>
                              </w:rPr>
                              <w:t>- Republic of Serbia-</w:t>
                            </w:r>
                            <w:r>
                              <w:rPr>
                                <w:rFonts w:ascii="Arial" w:hAnsi="Arial"/>
                                <w:b w:val="1"/>
                                <w:sz w:val="20"/>
                              </w:rPr>
                              <w:t xml:space="preserve"> </w:t>
                            </w:r>
                          </w:p>
                        </w:txbxContent>
                      </wps:txbx>
                      <wps:bodyPr/>
                    </wps:wsp>
                  </a:graphicData>
                </a:graphic>
              </wp:anchor>
            </w:drawing>
          </mc:Choice>
          <mc:Fallback>
            <w:pict>
              <v:shapetype id="3" path="m,l,21600r21600,l21600,xe"/>
              <v:shape xmlns:o="urn:schemas-microsoft-com:office:office" type="#3" id="Text Box 2" style="position:absolute;width:424.5pt;height:32.5pt;z-index:1;mso-wrap-distance-left:9pt;mso-wrap-distance-top:0pt;mso-wrap-distance-right:9pt;mso-wrap-distance-bottom:0pt;margin-left:36pt;margin-top:13.05pt;mso-position-horizontal:absolute;mso-position-horizontal-relative:text;mso-position-vertical:absolute;mso-position-vertical-relative:text" stroked="f" o:allowincell="t">
                <v:textbox>
                  <w:txbxContent>
                    <w:p>
                      <w:pPr>
                        <w:jc w:val="center"/>
                        <w:rPr>
                          <w:rFonts w:ascii="Arial" w:hAnsi="Arial"/>
                          <w:b w:val="1"/>
                          <w:sz w:val="20"/>
                        </w:rPr>
                      </w:pPr>
                      <w:r>
                        <w:rPr>
                          <w:rFonts w:ascii="Arial" w:hAnsi="Arial"/>
                          <w:b w:val="1"/>
                          <w:sz w:val="20"/>
                        </w:rPr>
                        <w:t>Age structure</w:t>
                      </w:r>
                      <w:r>
                        <w:rPr>
                          <w:rFonts w:ascii="Arial" w:hAnsi="Arial"/>
                          <w:b w:val="1"/>
                          <w:sz w:val="20"/>
                        </w:rPr>
                        <w:t xml:space="preserve"> of first time registered</w:t>
                      </w:r>
                      <w:r>
                        <w:rPr>
                          <w:rFonts w:ascii="Arial" w:hAnsi="Arial"/>
                          <w:b w:val="1"/>
                          <w:sz w:val="20"/>
                        </w:rPr>
                        <w:t xml:space="preserve"> road motor vehicles </w:t>
                      </w:r>
                    </w:p>
                    <w:p>
                      <w:pPr>
                        <w:jc w:val="center"/>
                        <w:rPr>
                          <w:rFonts w:ascii="Arial" w:hAnsi="Arial"/>
                          <w:b w:val="1"/>
                          <w:sz w:val="20"/>
                        </w:rPr>
                      </w:pPr>
                      <w:r>
                        <w:rPr>
                          <w:rFonts w:ascii="Arial" w:hAnsi="Arial"/>
                          <w:b w:val="1"/>
                          <w:sz w:val="20"/>
                        </w:rPr>
                        <w:t>- Republic of Serbia-</w:t>
                      </w:r>
                      <w:r>
                        <w:rPr>
                          <w:rFonts w:ascii="Arial" w:hAnsi="Arial"/>
                          <w:b w:val="1"/>
                          <w:sz w:val="20"/>
                        </w:rPr>
                        <w:t xml:space="preserve"> </w:t>
                      </w:r>
                    </w:p>
                  </w:txbxContent>
                </v:textbox>
              </v:shape>
            </w:pict>
          </mc:Fallback>
        </mc:AlternateContent>
      </w:r>
    </w:p>
    <w:p>
      <w:pPr>
        <w:pStyle w:val="P13"/>
        <w:spacing w:before="120" w:after="120"/>
        <w:ind w:firstLine="720" w:left="0"/>
        <w:rPr>
          <w:sz w:val="18"/>
        </w:rPr>
      </w:pPr>
    </w:p>
    <w:p>
      <w:pPr>
        <w:pStyle w:val="P13"/>
        <w:spacing w:before="120" w:after="120"/>
        <w:ind w:firstLine="720" w:left="0"/>
        <w:rPr>
          <w:sz w:val="18"/>
        </w:rPr>
      </w:pPr>
    </w:p>
    <w:p>
      <w:pPr>
        <w:pStyle w:val="P13"/>
        <w:spacing w:before="120" w:after="120"/>
        <w:ind w:firstLine="0" w:left="0"/>
        <w:jc w:val="center"/>
        <w:rPr>
          <w:sz w:val="18"/>
        </w:rPr>
      </w:pPr>
      <w:r>
        <w:drawing>
          <wp:inline xmlns:wp="http://schemas.openxmlformats.org/drawingml/2006/wordprocessingDrawing">
            <wp:extent cx="6272530" cy="370395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6272530" cy="3703955"/>
                    </a:xfrm>
                    <a:prstGeom prst="rect"/>
                    <a:noFill/>
                  </pic:spPr>
                </pic:pic>
              </a:graphicData>
            </a:graphic>
          </wp:inline>
        </w:drawing>
      </w:r>
    </w:p>
    <w:p>
      <w:pPr>
        <w:spacing w:after="60"/>
        <w:rPr>
          <w:rFonts w:ascii="Arial" w:hAnsi="Arial"/>
          <w:b w:val="1"/>
          <w:sz w:val="20"/>
        </w:rPr>
      </w:pPr>
      <w:r>
        <w:rPr>
          <w:rFonts w:ascii="Arial" w:hAnsi="Arial"/>
          <w:b w:val="1"/>
          <w:sz w:val="20"/>
        </w:rPr>
        <w:t xml:space="preserve">1.  Number of first time registered road vehicles and trailers</w:t>
      </w:r>
    </w:p>
    <w:tbl>
      <w:tblPr>
        <w:tblStyle w:val="T3"/>
        <w:tblW w:w="0" w:type="auto"/>
        <w:jc w:val="center"/>
        <w:tblLayout w:type="autofit"/>
        <w:tblCellMar>
          <w:left w:w="28" w:type="dxa"/>
          <w:right w:w="28" w:type="dxa"/>
        </w:tblCellMar>
      </w:tblPr>
      <w:tblGrid/>
      <w:tr>
        <w:trPr>
          <w:wAfter w:w="0" w:type="dxa"/>
        </w:trPr>
        <w:tc>
          <w:tcPr>
            <w:tcW w:w="1174" w:type="dxa"/>
            <w:vMerge w:val="restart"/>
            <w:tcBorders>
              <w:left w:val="none" w:sz="0" w:space="0" w:shadow="0" w:frame="0"/>
            </w:tcBorders>
          </w:tcPr>
          <w:p>
            <w:pPr>
              <w:spacing w:lineRule="auto" w:line="252" w:before="120" w:after="120"/>
              <w:jc w:val="center"/>
              <w:rPr>
                <w:rFonts w:ascii="Arial" w:hAnsi="Arial"/>
                <w:sz w:val="15"/>
              </w:rPr>
            </w:pPr>
          </w:p>
        </w:tc>
        <w:tc>
          <w:tcPr>
            <w:tcW w:w="4022" w:type="dxa"/>
            <w:gridSpan w:val="6"/>
          </w:tcPr>
          <w:p>
            <w:pPr>
              <w:spacing w:lineRule="auto" w:line="252" w:before="60" w:after="60"/>
              <w:jc w:val="center"/>
              <w:rPr>
                <w:rFonts w:ascii="Arial" w:hAnsi="Arial"/>
                <w:sz w:val="16"/>
                <w:vertAlign w:val="superscript"/>
              </w:rPr>
            </w:pPr>
            <w:r>
              <w:rPr>
                <w:rFonts w:ascii="Arial" w:hAnsi="Arial"/>
                <w:sz w:val="16"/>
              </w:rPr>
              <w:t>II quarter 2012</w:t>
              <w:br w:type="textWrapping"/>
              <w:t>Republic of Serbia</w:t>
            </w:r>
          </w:p>
        </w:tc>
        <w:tc>
          <w:tcPr>
            <w:tcW w:w="4006" w:type="dxa"/>
            <w:gridSpan w:val="6"/>
          </w:tcPr>
          <w:p>
            <w:pPr>
              <w:spacing w:lineRule="auto" w:line="252" w:before="60" w:after="60"/>
              <w:jc w:val="center"/>
              <w:rPr>
                <w:rFonts w:ascii="CTimesRoman" w:hAnsi="CTimesRoman"/>
                <w:sz w:val="20"/>
              </w:rPr>
            </w:pPr>
            <w:r>
              <w:rPr>
                <w:rFonts w:ascii="Arial" w:hAnsi="Arial"/>
                <w:sz w:val="16"/>
              </w:rPr>
              <w:t>II quarter 2013</w:t>
              <w:br w:type="textWrapping"/>
              <w:t>Republic of Serbia</w:t>
            </w:r>
          </w:p>
        </w:tc>
        <w:tc>
          <w:tcPr>
            <w:tcW w:w="721" w:type="dxa"/>
            <w:vMerge w:val="restart"/>
            <w:tcBorders>
              <w:right w:val="none" w:sz="0" w:space="0" w:shadow="0" w:frame="0"/>
            </w:tcBorders>
            <w:vAlign w:val="center"/>
          </w:tcPr>
          <w:p>
            <w:pPr>
              <w:spacing w:lineRule="auto" w:line="252" w:before="60" w:after="60"/>
              <w:jc w:val="center"/>
              <w:rPr>
                <w:rFonts w:ascii="CTimesRoman" w:hAnsi="CTimesRoman"/>
                <w:sz w:val="20"/>
              </w:rPr>
            </w:pPr>
            <w:r>
              <w:rPr>
                <w:rFonts w:ascii="Arial" w:hAnsi="Arial"/>
                <w:sz w:val="16"/>
              </w:rPr>
              <w:t>II quarter</w:t>
            </w:r>
            <w:r>
              <w:rPr>
                <w:rFonts w:ascii="Arial" w:hAnsi="Arial"/>
                <w:sz w:val="16"/>
                <w:u w:val="single"/>
              </w:rPr>
              <w:t xml:space="preserve"> 2013</w:t>
              <w:br w:type="textWrapping"/>
            </w:r>
            <w:r>
              <w:rPr>
                <w:rFonts w:ascii="Arial" w:hAnsi="Arial"/>
                <w:sz w:val="16"/>
              </w:rPr>
              <w:t>II quarter 2012</w:t>
            </w:r>
          </w:p>
        </w:tc>
      </w:tr>
      <w:tr>
        <w:trPr>
          <w:wAfter w:w="0" w:type="dxa"/>
        </w:trPr>
        <w:tc>
          <w:tcPr>
            <w:tcW w:w="1174" w:type="dxa"/>
            <w:vMerge w:val="continue"/>
            <w:tcBorders>
              <w:left w:val="none" w:sz="0" w:space="0" w:shadow="0" w:frame="0"/>
              <w:bottom w:val="single" w:sz="4" w:space="0" w:shadow="0" w:frame="0"/>
            </w:tcBorders>
          </w:tcPr>
          <w:p>
            <w:pPr>
              <w:spacing w:lineRule="auto" w:line="252"/>
              <w:jc w:val="center"/>
              <w:rPr>
                <w:rFonts w:ascii="Arial" w:hAnsi="Arial"/>
                <w:sz w:val="15"/>
              </w:rPr>
            </w:pPr>
          </w:p>
        </w:tc>
        <w:tc>
          <w:tcPr>
            <w:tcW w:w="614" w:type="dxa"/>
            <w:tcBorders>
              <w:bottom w:val="single" w:sz="4" w:space="0" w:shadow="0" w:frame="0"/>
            </w:tcBorders>
            <w:vAlign w:val="center"/>
          </w:tcPr>
          <w:p>
            <w:pPr>
              <w:spacing w:lineRule="auto" w:line="252"/>
              <w:jc w:val="center"/>
              <w:rPr>
                <w:rFonts w:ascii="Arial" w:hAnsi="Arial"/>
                <w:sz w:val="15"/>
              </w:rPr>
            </w:pPr>
            <w:r>
              <w:rPr>
                <w:rFonts w:ascii="Arial" w:hAnsi="Arial"/>
                <w:sz w:val="16"/>
              </w:rPr>
              <w:t>Total</w:t>
            </w:r>
          </w:p>
        </w:tc>
        <w:tc>
          <w:tcPr>
            <w:tcW w:w="657" w:type="dxa"/>
            <w:tcBorders>
              <w:bottom w:val="single" w:sz="4" w:space="0" w:shadow="0" w:frame="0"/>
            </w:tcBorders>
            <w:vAlign w:val="center"/>
          </w:tcPr>
          <w:p>
            <w:pPr>
              <w:spacing w:lineRule="auto" w:line="252"/>
              <w:jc w:val="center"/>
              <w:rPr>
                <w:rFonts w:ascii="Arial" w:hAnsi="Arial"/>
                <w:sz w:val="15"/>
              </w:rPr>
            </w:pPr>
            <w:r>
              <w:rPr>
                <w:rFonts w:ascii="Arial" w:hAnsi="Arial"/>
                <w:sz w:val="15"/>
              </w:rPr>
              <w:t>City of Belgrade</w:t>
            </w:r>
          </w:p>
        </w:tc>
        <w:tc>
          <w:tcPr>
            <w:tcW w:w="71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Vojvodina</w:t>
            </w:r>
          </w:p>
        </w:tc>
        <w:tc>
          <w:tcPr>
            <w:tcW w:w="73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Sumadija and West Serbia</w:t>
            </w:r>
          </w:p>
        </w:tc>
        <w:tc>
          <w:tcPr>
            <w:tcW w:w="622"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South and East Serbia</w:t>
            </w:r>
          </w:p>
        </w:tc>
        <w:tc>
          <w:tcPr>
            <w:tcW w:w="679"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Kosovo and Metohia</w:t>
            </w:r>
          </w:p>
        </w:tc>
        <w:tc>
          <w:tcPr>
            <w:tcW w:w="598" w:type="dxa"/>
            <w:tcBorders>
              <w:bottom w:val="single" w:sz="4" w:space="0" w:shadow="0" w:frame="0"/>
            </w:tcBorders>
            <w:vAlign w:val="center"/>
          </w:tcPr>
          <w:p>
            <w:pPr>
              <w:spacing w:lineRule="auto" w:line="252"/>
              <w:jc w:val="center"/>
              <w:rPr>
                <w:rFonts w:ascii="Arial" w:hAnsi="Arial"/>
                <w:sz w:val="15"/>
              </w:rPr>
            </w:pPr>
            <w:r>
              <w:rPr>
                <w:rFonts w:ascii="Arial" w:hAnsi="Arial"/>
                <w:sz w:val="16"/>
              </w:rPr>
              <w:t>Total</w:t>
            </w:r>
          </w:p>
        </w:tc>
        <w:tc>
          <w:tcPr>
            <w:tcW w:w="657" w:type="dxa"/>
            <w:tcBorders>
              <w:bottom w:val="single" w:sz="4" w:space="0" w:shadow="0" w:frame="0"/>
            </w:tcBorders>
            <w:vAlign w:val="center"/>
          </w:tcPr>
          <w:p>
            <w:pPr>
              <w:spacing w:lineRule="auto" w:line="252"/>
              <w:jc w:val="center"/>
              <w:rPr>
                <w:rFonts w:ascii="Arial" w:hAnsi="Arial"/>
                <w:sz w:val="15"/>
              </w:rPr>
            </w:pPr>
            <w:r>
              <w:rPr>
                <w:rFonts w:ascii="Arial" w:hAnsi="Arial"/>
                <w:sz w:val="15"/>
              </w:rPr>
              <w:t>City of Belgrade</w:t>
            </w:r>
          </w:p>
        </w:tc>
        <w:tc>
          <w:tcPr>
            <w:tcW w:w="71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Vojvodina</w:t>
            </w:r>
          </w:p>
        </w:tc>
        <w:tc>
          <w:tcPr>
            <w:tcW w:w="73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Sumadija and West Serbia</w:t>
            </w:r>
          </w:p>
        </w:tc>
        <w:tc>
          <w:tcPr>
            <w:tcW w:w="622"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South and East Serbia</w:t>
            </w:r>
          </w:p>
        </w:tc>
        <w:tc>
          <w:tcPr>
            <w:tcW w:w="679"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Kosovo and Metohia</w:t>
            </w:r>
          </w:p>
        </w:tc>
        <w:tc>
          <w:tcPr>
            <w:tcW w:w="721" w:type="dxa"/>
            <w:vMerge w:val="continue"/>
            <w:tcBorders>
              <w:bottom w:val="single" w:sz="4" w:space="0" w:shadow="0" w:frame="0"/>
              <w:right w:val="none" w:sz="0" w:space="0" w:shadow="0" w:frame="0"/>
            </w:tcBorders>
            <w:vAlign w:val="center"/>
          </w:tcPr>
          <w:p>
            <w:pPr>
              <w:spacing w:lineRule="auto" w:line="252"/>
              <w:jc w:val="center"/>
              <w:rPr>
                <w:rFonts w:ascii="Arial" w:hAnsi="Arial"/>
                <w:sz w:val="15"/>
              </w:rPr>
            </w:pPr>
          </w:p>
        </w:tc>
      </w:tr>
      <w:tr>
        <w:trPr>
          <w:wAfter w:w="0" w:type="dxa"/>
        </w:trPr>
        <w:tc>
          <w:tcPr>
            <w:tcW w:w="1174"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p>
        </w:tc>
        <w:tc>
          <w:tcPr>
            <w:tcW w:w="614"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5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1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3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2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79"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p>
        </w:tc>
        <w:tc>
          <w:tcPr>
            <w:tcW w:w="598"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5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1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3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2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79"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p>
        </w:tc>
        <w:tc>
          <w:tcPr>
            <w:tcW w:w="72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Mopeds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2889</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604</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921</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617</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744</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3</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2476</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437</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827</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613</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594</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5</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85.7</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Motorcycles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2240</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441</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656</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602</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529</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12</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2313</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477</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705</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611</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516</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4</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103.3</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Passengers cars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35133</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10240</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9321</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8904</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6384</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284</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38470</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11430</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10346</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9757</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6768</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169</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109.5</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Buses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119</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52</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33</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17</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16</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1</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160</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62</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29</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38</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30</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1</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134.5</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Lorries (trucks)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1911</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667</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434</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520</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284</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6</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2487</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902</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568</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640</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375</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2</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130.1</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Road tractors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776</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174</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199</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265</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136</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2</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636</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140</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180</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245</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71</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82.0</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Trailers and semi-trailers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4234</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375</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1808</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1283</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759</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9</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3140</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361</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1119</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1054</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595</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11</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74.2</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Special purpose motor vehicles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537</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69</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345</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71</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50</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sz w:val="16"/>
              </w:rPr>
            </w:pPr>
            <w:r>
              <w:rPr>
                <w:rFonts w:ascii="Arial" w:hAnsi="Arial"/>
                <w:sz w:val="16"/>
              </w:rPr>
              <w:t>2</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589</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63</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388</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70</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67</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sz w:val="16"/>
              </w:rPr>
            </w:pPr>
            <w:r>
              <w:rPr>
                <w:rFonts w:ascii="Arial" w:hAnsi="Arial"/>
                <w:sz w:val="16"/>
              </w:rPr>
              <w:t>1</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109.7</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Motocultivators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28</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2</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5</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20</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24</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2</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10</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9</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3</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85.7</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Agricultural tractors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1869</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121</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1141</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361</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245</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sz w:val="16"/>
              </w:rPr>
            </w:pPr>
            <w:r>
              <w:rPr>
                <w:rFonts w:ascii="Arial" w:hAnsi="Arial"/>
                <w:sz w:val="16"/>
              </w:rPr>
              <w:t>1</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2329</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155</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1293</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512</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358</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sz w:val="16"/>
              </w:rPr>
            </w:pPr>
            <w:r>
              <w:rPr>
                <w:rFonts w:ascii="Arial" w:hAnsi="Arial"/>
                <w:sz w:val="16"/>
              </w:rPr>
              <w:t>11</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124.6</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Agricultural trailers</w:t>
            </w:r>
          </w:p>
        </w:tc>
        <w:tc>
          <w:tcPr>
            <w:tcW w:w="614"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758</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19</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569</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92</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78</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822</w:t>
            </w:r>
          </w:p>
        </w:tc>
        <w:tc>
          <w:tcPr>
            <w:tcW w:w="657"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12</w:t>
            </w:r>
          </w:p>
        </w:tc>
        <w:tc>
          <w:tcPr>
            <w:tcW w:w="71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612</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114</w:t>
            </w:r>
          </w:p>
        </w:tc>
        <w:tc>
          <w:tcPr>
            <w:tcW w:w="62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color w:val="000000"/>
                <w:sz w:val="16"/>
              </w:rPr>
            </w:pPr>
            <w:r>
              <w:rPr>
                <w:rFonts w:ascii="Arial" w:hAnsi="Arial"/>
                <w:color w:val="000000"/>
                <w:sz w:val="16"/>
              </w:rPr>
              <w:t>84</w:t>
            </w:r>
          </w:p>
        </w:tc>
        <w:tc>
          <w:tcPr>
            <w:tcW w:w="679" w:type="dxa"/>
            <w:tcBorders>
              <w:top w:val="none" w:sz="0" w:space="0" w:shadow="0" w:frame="0"/>
              <w:left w:val="none" w:sz="0" w:space="0" w:shadow="0" w:frame="0"/>
              <w:bottom w:val="none" w:sz="0" w:space="0" w:shadow="0" w:frame="0"/>
              <w:right w:val="single" w:sz="4" w:space="0" w:shadow="0" w:frame="0"/>
            </w:tcBorders>
            <w:vAlign w:val="center"/>
          </w:tcPr>
          <w:p>
            <w:pPr>
              <w:jc w:val="right"/>
              <w:rPr>
                <w:rFonts w:ascii="Arial" w:hAnsi="Arial"/>
                <w:color w:val="000000"/>
                <w:sz w:val="16"/>
              </w:rPr>
            </w:pPr>
            <w:r>
              <w:rPr>
                <w:rFonts w:ascii="Arial" w:hAnsi="Arial"/>
                <w:color w:val="000000"/>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108.4</w:t>
            </w:r>
          </w:p>
        </w:tc>
      </w:tr>
    </w:tbl>
    <w:p>
      <w:pPr>
        <w:spacing w:lineRule="auto" w:line="252"/>
        <w:rPr>
          <w:rFonts w:ascii="Arial" w:hAnsi="Arial"/>
        </w:rPr>
      </w:pPr>
    </w:p>
    <w:p>
      <w:pPr>
        <w:rPr>
          <w:rFonts w:ascii="Arial" w:hAnsi="Arial"/>
          <w:b w:val="1"/>
          <w:sz w:val="14"/>
          <w:u w:val="single"/>
        </w:rPr>
      </w:pPr>
      <w:r>
        <w:rPr>
          <w:rFonts w:ascii="Arial" w:hAnsi="Arial"/>
          <w:sz w:val="14"/>
        </w:rPr>
        <w:t>Source: Ministry of the Interior of the Republic of Serbia.</w:t>
      </w:r>
    </w:p>
    <w:p>
      <w:pPr>
        <w:spacing w:lineRule="auto" w:line="252"/>
        <w:rPr>
          <w:rFonts w:ascii="Arial" w:hAnsi="Arial"/>
          <w:sz w:val="44"/>
        </w:rPr>
      </w:pPr>
    </w:p>
    <w:p>
      <w:pPr>
        <w:spacing w:lineRule="auto" w:line="252" w:after="60"/>
        <w:rPr>
          <w:rFonts w:ascii="Arial" w:hAnsi="Arial"/>
          <w:b w:val="1"/>
          <w:sz w:val="20"/>
        </w:rPr>
      </w:pPr>
      <w:r>
        <w:rPr>
          <w:rFonts w:ascii="Arial" w:hAnsi="Arial"/>
          <w:b w:val="1"/>
          <w:sz w:val="20"/>
        </w:rPr>
        <w:t xml:space="preserve">2. Number of first time registered lorries by load capacity </w:t>
      </w:r>
    </w:p>
    <w:tbl>
      <w:tblPr>
        <w:tblStyle w:val="T3"/>
        <w:tblW w:w="9809" w:type="dxa"/>
        <w:tblInd w:w="57" w:type="dxa"/>
        <w:tblLayout w:type="fixed"/>
        <w:tblCellMar>
          <w:left w:w="28" w:type="dxa"/>
          <w:right w:w="28" w:type="dxa"/>
        </w:tblCellMar>
      </w:tblPr>
      <w:tblGrid/>
      <w:tr>
        <w:trPr>
          <w:wAfter w:w="0" w:type="dxa"/>
        </w:trPr>
        <w:tc>
          <w:tcPr>
            <w:tcW w:w="2325" w:type="dxa"/>
            <w:vMerge w:val="restart"/>
            <w:tcBorders>
              <w:left w:val="none" w:sz="0" w:space="0" w:shadow="0" w:frame="0"/>
              <w:bottom w:val="single" w:sz="4" w:space="0" w:shadow="0" w:frame="0"/>
            </w:tcBorders>
            <w:vAlign w:val="center"/>
          </w:tcPr>
          <w:p>
            <w:pPr>
              <w:spacing w:lineRule="auto" w:line="252" w:before="60"/>
              <w:jc w:val="center"/>
              <w:rPr>
                <w:rFonts w:ascii="Arial" w:hAnsi="Arial"/>
                <w:sz w:val="16"/>
              </w:rPr>
            </w:pPr>
            <w:r>
              <w:rPr>
                <w:rFonts w:ascii="Arial" w:hAnsi="Arial"/>
                <w:sz w:val="16"/>
              </w:rPr>
              <w:t xml:space="preserve">Load capacity  (kg)</w:t>
            </w:r>
          </w:p>
        </w:tc>
        <w:tc>
          <w:tcPr>
            <w:tcW w:w="3742" w:type="dxa"/>
            <w:gridSpan w:val="2"/>
            <w:vAlign w:val="center"/>
          </w:tcPr>
          <w:p>
            <w:pPr>
              <w:spacing w:before="120" w:after="120"/>
              <w:jc w:val="center"/>
              <w:rPr>
                <w:rFonts w:ascii="Arial" w:hAnsi="Arial"/>
                <w:sz w:val="16"/>
              </w:rPr>
            </w:pPr>
            <w:r>
              <w:rPr>
                <w:rFonts w:ascii="Arial" w:hAnsi="Arial"/>
                <w:sz w:val="16"/>
              </w:rPr>
              <w:t>II quarter 2012</w:t>
            </w:r>
          </w:p>
        </w:tc>
        <w:tc>
          <w:tcPr>
            <w:tcW w:w="3742" w:type="dxa"/>
            <w:gridSpan w:val="2"/>
            <w:tcBorders>
              <w:right w:val="none" w:sz="0" w:space="0" w:shadow="0" w:frame="0"/>
            </w:tcBorders>
            <w:vAlign w:val="center"/>
          </w:tcPr>
          <w:p>
            <w:pPr>
              <w:spacing w:before="120" w:after="120"/>
              <w:jc w:val="center"/>
              <w:rPr>
                <w:rFonts w:ascii="Arial" w:hAnsi="Arial"/>
                <w:sz w:val="16"/>
              </w:rPr>
            </w:pPr>
            <w:r>
              <w:rPr>
                <w:rFonts w:ascii="Arial" w:hAnsi="Arial"/>
                <w:sz w:val="16"/>
              </w:rPr>
              <w:t>II quarter 2013</w:t>
            </w:r>
          </w:p>
        </w:tc>
      </w:tr>
      <w:tr>
        <w:trPr>
          <w:wAfter w:w="0" w:type="dxa"/>
        </w:trPr>
        <w:tc>
          <w:tcPr>
            <w:tcW w:w="2325" w:type="dxa"/>
            <w:vMerge w:val="continue"/>
            <w:tcBorders>
              <w:left w:val="none" w:sz="0" w:space="0" w:shadow="0" w:frame="0"/>
              <w:bottom w:val="single" w:sz="4" w:space="0" w:shadow="0" w:frame="0"/>
            </w:tcBorders>
            <w:vAlign w:val="center"/>
          </w:tcPr>
          <w:p>
            <w:pPr>
              <w:spacing w:lineRule="auto" w:line="252" w:before="60"/>
              <w:rPr>
                <w:rFonts w:ascii="Arial" w:hAnsi="Arial"/>
                <w:sz w:val="16"/>
              </w:rPr>
            </w:pPr>
          </w:p>
        </w:tc>
        <w:tc>
          <w:tcPr>
            <w:tcW w:w="1871" w:type="dxa"/>
            <w:tcBorders>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tcBorders>
            <w:vAlign w:val="center"/>
          </w:tcPr>
          <w:p>
            <w:pPr>
              <w:spacing w:before="60"/>
              <w:jc w:val="center"/>
              <w:rPr>
                <w:rFonts w:ascii="Arial" w:hAnsi="Arial"/>
                <w:sz w:val="16"/>
              </w:rPr>
            </w:pPr>
            <w:r>
              <w:rPr>
                <w:rFonts w:ascii="Arial" w:hAnsi="Arial"/>
                <w:sz w:val="16"/>
              </w:rPr>
              <w:t>up to 2 years</w:t>
            </w:r>
          </w:p>
        </w:tc>
        <w:tc>
          <w:tcPr>
            <w:tcW w:w="1871" w:type="dxa"/>
            <w:tcBorders>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right w:val="none" w:sz="0" w:space="0" w:shadow="0" w:frame="0"/>
            </w:tcBorders>
            <w:vAlign w:val="center"/>
          </w:tcPr>
          <w:p>
            <w:pPr>
              <w:spacing w:before="60"/>
              <w:jc w:val="center"/>
              <w:rPr>
                <w:rFonts w:ascii="Arial" w:hAnsi="Arial"/>
                <w:sz w:val="16"/>
              </w:rPr>
            </w:pPr>
            <w:r>
              <w:rPr>
                <w:rFonts w:ascii="Arial" w:hAnsi="Arial"/>
                <w:sz w:val="16"/>
              </w:rPr>
              <w:t>up to 2 years</w:t>
            </w:r>
          </w:p>
        </w:tc>
      </w:tr>
      <w:tr>
        <w:trPr>
          <w:wAfter w:w="0" w:type="dxa"/>
        </w:trPr>
        <w:tc>
          <w:tcPr>
            <w:tcW w:w="2325" w:type="dxa"/>
            <w:tcBorders>
              <w:top w:val="single" w:sz="4"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sz w:val="16"/>
              </w:rPr>
            </w:pPr>
          </w:p>
        </w:tc>
        <w:tc>
          <w:tcPr>
            <w:tcW w:w="1871" w:type="dxa"/>
            <w:tcBorders>
              <w:top w:val="single" w:sz="4" w:space="0" w:shadow="0" w:frame="0"/>
              <w:left w:val="none" w:sz="0" w:space="0" w:shadow="0" w:frame="0"/>
              <w:bottom w:val="none" w:sz="0" w:space="0" w:shadow="0" w:frame="0"/>
              <w:right w:val="single" w:sz="4" w:space="0" w:shadow="0" w:frame="0"/>
            </w:tcBorders>
          </w:tcPr>
          <w:p>
            <w:pPr>
              <w:spacing w:lineRule="auto" w:line="252"/>
              <w:jc w:val="right"/>
              <w:rPr>
                <w:rFonts w:ascii="Arial" w:hAnsi="Arial"/>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sz w:val="16"/>
              </w:rPr>
            </w:pPr>
          </w:p>
        </w:tc>
        <w:tc>
          <w:tcPr>
            <w:tcW w:w="1871" w:type="dxa"/>
            <w:tcBorders>
              <w:top w:val="single" w:sz="4" w:space="0" w:shadow="0" w:frame="0"/>
              <w:left w:val="none" w:sz="0" w:space="0" w:shadow="0" w:frame="0"/>
              <w:bottom w:val="none" w:sz="0" w:space="0" w:shadow="0" w:frame="0"/>
              <w:right w:val="none" w:sz="0" w:space="0" w:shadow="0" w:frame="0"/>
            </w:tcBorders>
          </w:tcPr>
          <w:p>
            <w:pPr>
              <w:spacing w:lineRule="auto" w:line="252"/>
              <w:jc w:val="right"/>
              <w:rPr>
                <w:rFonts w:ascii="Arial" w:hAnsi="Arial"/>
                <w:sz w:val="16"/>
              </w:rPr>
            </w:pP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1911</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b w:val="1"/>
                <w:sz w:val="16"/>
              </w:rPr>
            </w:pPr>
            <w:r>
              <w:rPr>
                <w:rFonts w:ascii="Arial" w:hAnsi="Arial"/>
                <w:b w:val="1"/>
                <w:sz w:val="16"/>
              </w:rPr>
              <w:t>541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2487</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589</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Up to 999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6</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1000 - 1499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151</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85</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197</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43</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1500 - 2999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791</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221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1073</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310</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3000 - 4999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599</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152</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792</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162</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5000 - 6999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74</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31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83</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11</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7000 - 9999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146</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25</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144</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10000 - 14999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78</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83</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15000 and over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66</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15</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115</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33</w:t>
            </w:r>
          </w:p>
        </w:tc>
      </w:tr>
    </w:tbl>
    <w:p>
      <w:pPr>
        <w:spacing w:lineRule="auto" w:line="252"/>
        <w:rPr>
          <w:rFonts w:ascii="Arial" w:hAnsi="Arial"/>
        </w:rPr>
      </w:pPr>
    </w:p>
    <w:p>
      <w:pPr>
        <w:spacing w:lineRule="auto" w:line="252"/>
        <w:rPr>
          <w:rFonts w:ascii="Arial" w:hAnsi="Arial"/>
          <w:b w:val="1"/>
          <w:sz w:val="14"/>
          <w:u w:val="single"/>
        </w:rPr>
      </w:pPr>
      <w:r>
        <w:rPr>
          <w:rFonts w:ascii="Arial" w:hAnsi="Arial"/>
          <w:sz w:val="14"/>
        </w:rPr>
        <w:t>Source: Ministry of the Interior of the Republic of Serbia.</w:t>
      </w:r>
    </w:p>
    <w:p>
      <w:pPr>
        <w:spacing w:lineRule="auto" w:line="252" w:after="60"/>
        <w:ind w:left="357"/>
        <w:rPr>
          <w:rFonts w:ascii="Arial" w:hAnsi="Arial"/>
          <w:b w:val="1"/>
          <w:sz w:val="44"/>
        </w:rPr>
      </w:pPr>
    </w:p>
    <w:p>
      <w:pPr>
        <w:spacing w:lineRule="auto" w:line="252" w:after="60"/>
        <w:rPr>
          <w:rFonts w:ascii="Arial" w:hAnsi="Arial"/>
          <w:b w:val="1"/>
          <w:sz w:val="20"/>
        </w:rPr>
      </w:pPr>
      <w:r>
        <w:rPr>
          <w:rFonts w:ascii="Arial" w:hAnsi="Arial"/>
          <w:b w:val="1"/>
          <w:sz w:val="20"/>
        </w:rPr>
        <w:t xml:space="preserve">3. Number of first time registered lorries by type of motor energy </w:t>
      </w:r>
    </w:p>
    <w:p>
      <w:pPr>
        <w:spacing w:lineRule="auto" w:line="252"/>
        <w:rPr>
          <w:rFonts w:ascii="Arial" w:hAnsi="Arial"/>
        </w:rPr>
      </w:pPr>
    </w:p>
    <w:tbl>
      <w:tblPr>
        <w:tblStyle w:val="T3"/>
        <w:tblW w:w="9809" w:type="dxa"/>
        <w:jc w:val="center"/>
        <w:tblLayout w:type="autofit"/>
        <w:tblCellMar>
          <w:left w:w="28" w:type="dxa"/>
          <w:right w:w="28" w:type="dxa"/>
        </w:tblCellMar>
      </w:tblPr>
      <w:tblGrid/>
      <w:tr>
        <w:trPr>
          <w:wAfter w:w="0" w:type="dxa"/>
        </w:trPr>
        <w:tc>
          <w:tcPr>
            <w:tcW w:w="2325"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jc w:val="center"/>
              <w:rPr>
                <w:rFonts w:ascii="Arial" w:hAnsi="Arial"/>
                <w:sz w:val="16"/>
              </w:rPr>
            </w:pPr>
            <w:r>
              <w:rPr>
                <w:rFonts w:ascii="Arial" w:hAnsi="Arial"/>
                <w:sz w:val="16"/>
              </w:rPr>
              <w:t>Type of motor energy</w:t>
            </w:r>
          </w:p>
        </w:tc>
        <w:tc>
          <w:tcPr>
            <w:tcW w:w="3742" w:type="dxa"/>
            <w:gridSpan w:val="2"/>
            <w:tcBorders>
              <w:left w:val="single" w:sz="4" w:space="0" w:shadow="0" w:frame="0"/>
            </w:tcBorders>
            <w:vAlign w:val="center"/>
          </w:tcPr>
          <w:p>
            <w:pPr>
              <w:spacing w:before="120" w:after="120"/>
              <w:jc w:val="center"/>
              <w:rPr>
                <w:rFonts w:ascii="Arial" w:hAnsi="Arial"/>
                <w:sz w:val="16"/>
              </w:rPr>
            </w:pPr>
            <w:r>
              <w:rPr>
                <w:rFonts w:ascii="Arial" w:hAnsi="Arial"/>
                <w:sz w:val="16"/>
              </w:rPr>
              <w:t>II quarter 2012</w:t>
            </w:r>
          </w:p>
        </w:tc>
        <w:tc>
          <w:tcPr>
            <w:tcW w:w="3742" w:type="dxa"/>
            <w:gridSpan w:val="2"/>
            <w:tcBorders>
              <w:right w:val="none" w:sz="0" w:space="0" w:shadow="0" w:frame="0"/>
            </w:tcBorders>
            <w:vAlign w:val="center"/>
          </w:tcPr>
          <w:p>
            <w:pPr>
              <w:spacing w:before="120" w:after="120"/>
              <w:jc w:val="center"/>
              <w:rPr>
                <w:rFonts w:ascii="Arial" w:hAnsi="Arial"/>
                <w:sz w:val="16"/>
              </w:rPr>
            </w:pPr>
            <w:r>
              <w:rPr>
                <w:rFonts w:ascii="Arial" w:hAnsi="Arial"/>
                <w:sz w:val="16"/>
              </w:rPr>
              <w:t>II quarter 2013</w:t>
            </w:r>
          </w:p>
        </w:tc>
      </w:tr>
      <w:tr>
        <w:trPr>
          <w:wAfter w:w="0" w:type="dxa"/>
        </w:trPr>
        <w:tc>
          <w:tcPr>
            <w:tcW w:w="2325" w:type="dxa"/>
            <w:vMerge w:val="continue"/>
            <w:tcBorders>
              <w:top w:val="none" w:sz="0" w:space="0" w:shadow="0" w:frame="0"/>
              <w:left w:val="none" w:sz="0" w:space="0" w:shadow="0" w:frame="0"/>
              <w:bottom w:val="single" w:sz="4" w:space="0" w:shadow="0" w:frame="0"/>
              <w:right w:val="single" w:sz="4" w:space="0" w:shadow="0" w:frame="0"/>
            </w:tcBorders>
            <w:vAlign w:val="center"/>
          </w:tcPr>
          <w:p>
            <w:pPr>
              <w:spacing w:lineRule="auto" w:line="252" w:before="60"/>
              <w:jc w:val="center"/>
              <w:rPr>
                <w:rFonts w:ascii="Arial" w:hAnsi="Arial"/>
                <w:sz w:val="16"/>
              </w:rPr>
            </w:pPr>
          </w:p>
        </w:tc>
        <w:tc>
          <w:tcPr>
            <w:tcW w:w="1871" w:type="dxa"/>
            <w:tcBorders>
              <w:left w:val="single" w:sz="4" w:space="0" w:shadow="0" w:frame="0"/>
              <w:bottom w:val="single" w:sz="4" w:space="0" w:shadow="0" w:frame="0"/>
            </w:tcBorders>
            <w:vAlign w:val="center"/>
          </w:tcPr>
          <w:p>
            <w:pPr>
              <w:jc w:val="center"/>
              <w:rPr>
                <w:rFonts w:ascii="Arial" w:hAnsi="Arial"/>
                <w:sz w:val="16"/>
              </w:rPr>
            </w:pPr>
            <w:r>
              <w:rPr>
                <w:rFonts w:ascii="Arial" w:hAnsi="Arial"/>
                <w:sz w:val="16"/>
              </w:rPr>
              <w:t>Total</w:t>
            </w:r>
          </w:p>
        </w:tc>
        <w:tc>
          <w:tcPr>
            <w:tcW w:w="1871" w:type="dxa"/>
            <w:tcBorders>
              <w:bottom w:val="single" w:sz="4" w:space="0" w:shadow="0" w:frame="0"/>
            </w:tcBorders>
            <w:vAlign w:val="center"/>
          </w:tcPr>
          <w:p>
            <w:pPr>
              <w:jc w:val="center"/>
              <w:rPr>
                <w:rFonts w:ascii="Arial" w:hAnsi="Arial"/>
                <w:sz w:val="16"/>
              </w:rPr>
            </w:pPr>
            <w:r>
              <w:rPr>
                <w:rFonts w:ascii="Arial" w:hAnsi="Arial"/>
                <w:sz w:val="16"/>
              </w:rPr>
              <w:t>up to 2 years</w:t>
            </w:r>
          </w:p>
        </w:tc>
        <w:tc>
          <w:tcPr>
            <w:tcW w:w="1871" w:type="dxa"/>
            <w:tcBorders>
              <w:bottom w:val="single" w:sz="4" w:space="0" w:shadow="0" w:frame="0"/>
            </w:tcBorders>
            <w:vAlign w:val="center"/>
          </w:tcPr>
          <w:p>
            <w:pPr>
              <w:jc w:val="center"/>
              <w:rPr>
                <w:rFonts w:ascii="Arial" w:hAnsi="Arial"/>
                <w:sz w:val="16"/>
              </w:rPr>
            </w:pPr>
            <w:r>
              <w:rPr>
                <w:rFonts w:ascii="Arial" w:hAnsi="Arial"/>
                <w:sz w:val="16"/>
              </w:rPr>
              <w:t>Total</w:t>
            </w:r>
          </w:p>
        </w:tc>
        <w:tc>
          <w:tcPr>
            <w:tcW w:w="1871" w:type="dxa"/>
            <w:tcBorders>
              <w:bottom w:val="single" w:sz="4" w:space="0" w:shadow="0" w:frame="0"/>
              <w:right w:val="none" w:sz="0" w:space="0" w:shadow="0" w:frame="0"/>
            </w:tcBorders>
            <w:vAlign w:val="center"/>
          </w:tcPr>
          <w:p>
            <w:pPr>
              <w:jc w:val="center"/>
              <w:rPr>
                <w:rFonts w:ascii="Arial" w:hAnsi="Arial"/>
                <w:sz w:val="16"/>
              </w:rPr>
            </w:pPr>
            <w:r>
              <w:rPr>
                <w:rFonts w:ascii="Arial" w:hAnsi="Arial"/>
                <w:sz w:val="16"/>
              </w:rPr>
              <w:t>up to 2 years</w:t>
            </w:r>
          </w:p>
        </w:tc>
      </w:tr>
      <w:tr>
        <w:trPr>
          <w:wAfter w:w="0" w:type="dxa"/>
        </w:trPr>
        <w:tc>
          <w:tcPr>
            <w:tcW w:w="232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b w:val="1"/>
                <w:sz w:val="16"/>
              </w:rPr>
            </w:pPr>
          </w:p>
        </w:tc>
        <w:tc>
          <w:tcPr>
            <w:tcW w:w="1871" w:type="dxa"/>
            <w:tcBorders>
              <w:top w:val="single" w:sz="4" w:space="0" w:shadow="0" w:frame="0"/>
              <w:left w:val="none" w:sz="0" w:space="0" w:shadow="0" w:frame="0"/>
              <w:bottom w:val="none" w:sz="0" w:space="0" w:shadow="0" w:frame="0"/>
              <w:right w:val="single" w:sz="4" w:space="0" w:shadow="0" w:frame="0"/>
            </w:tcBorders>
          </w:tcPr>
          <w:p>
            <w:pPr>
              <w:spacing w:lineRule="auto" w:line="252"/>
              <w:jc w:val="right"/>
              <w:rPr>
                <w:rFonts w:ascii="Arial" w:hAnsi="Arial"/>
                <w:b w:val="1"/>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b w:val="1"/>
                <w:sz w:val="16"/>
              </w:rPr>
            </w:pPr>
          </w:p>
        </w:tc>
        <w:tc>
          <w:tcPr>
            <w:tcW w:w="1871" w:type="dxa"/>
            <w:tcBorders>
              <w:top w:val="single" w:sz="4" w:space="0" w:shadow="0" w:frame="0"/>
              <w:left w:val="none" w:sz="0" w:space="0" w:shadow="0" w:frame="0"/>
              <w:bottom w:val="none" w:sz="0" w:space="0" w:shadow="0" w:frame="0"/>
              <w:right w:val="none" w:sz="0" w:space="0" w:shadow="0" w:frame="0"/>
            </w:tcBorders>
          </w:tcPr>
          <w:p>
            <w:pPr>
              <w:spacing w:lineRule="auto" w:line="252"/>
              <w:jc w:val="right"/>
              <w:rPr>
                <w:rFonts w:ascii="Arial" w:hAnsi="Arial"/>
                <w:b w:val="1"/>
                <w:sz w:val="16"/>
              </w:rPr>
            </w:pP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1911</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b w:val="1"/>
                <w:sz w:val="16"/>
              </w:rPr>
            </w:pPr>
            <w:r>
              <w:rPr>
                <w:rFonts w:ascii="Arial" w:hAnsi="Arial"/>
                <w:b w:val="1"/>
                <w:sz w:val="16"/>
              </w:rPr>
              <w:t>541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2487</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589</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Petrol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103</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17</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147</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27</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Euro-diesel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1479</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423</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2026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467</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Diesel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227</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169</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Petrol-LPG</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102</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145</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93</w:t>
            </w:r>
          </w:p>
        </w:tc>
      </w:tr>
    </w:tbl>
    <w:p>
      <w:pPr>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spacing w:after="60"/>
        <w:ind w:left="357"/>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r>
        <w:rPr>
          <w:rFonts w:ascii="Arial" w:hAnsi="Arial"/>
          <w:b w:val="1"/>
          <w:sz w:val="20"/>
        </w:rPr>
        <w:t>4. Number of first time registered passenger</w:t>
      </w:r>
      <w:r>
        <w:rPr>
          <w:rFonts w:ascii="Arial" w:hAnsi="Arial"/>
          <w:b w:val="1"/>
          <w:sz w:val="20"/>
        </w:rPr>
        <w:t>s’</w:t>
      </w:r>
      <w:r>
        <w:rPr>
          <w:rFonts w:ascii="Arial" w:hAnsi="Arial"/>
          <w:b w:val="1"/>
          <w:sz w:val="20"/>
        </w:rPr>
        <w:t xml:space="preserve"> cars by the most dominant type of motor energy and size of engine </w:t>
      </w:r>
    </w:p>
    <w:tbl>
      <w:tblPr>
        <w:tblStyle w:val="T3"/>
        <w:tblW w:w="9809" w:type="dxa"/>
        <w:jc w:val="center"/>
        <w:tblLayout w:type="autofit"/>
        <w:tblCellMar>
          <w:left w:w="28" w:type="dxa"/>
          <w:right w:w="28" w:type="dxa"/>
        </w:tblCellMar>
      </w:tblPr>
      <w:tblGrid/>
      <w:tr>
        <w:trPr>
          <w:wAfter w:w="0" w:type="dxa"/>
        </w:trPr>
        <w:tc>
          <w:tcPr>
            <w:tcW w:w="2325"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before="60"/>
              <w:jc w:val="center"/>
              <w:rPr>
                <w:rFonts w:ascii="Arial" w:hAnsi="Arial"/>
                <w:sz w:val="16"/>
              </w:rPr>
            </w:pPr>
            <w:r>
              <w:rPr>
                <w:rFonts w:ascii="Arial" w:hAnsi="Arial"/>
                <w:sz w:val="16"/>
              </w:rPr>
              <w:t>Size of engine (cm</w:t>
            </w:r>
            <w:r>
              <w:rPr>
                <w:rFonts w:ascii="Arial" w:hAnsi="Arial"/>
                <w:sz w:val="16"/>
                <w:vertAlign w:val="superscript"/>
              </w:rPr>
              <w:t>3</w:t>
            </w:r>
            <w:r>
              <w:rPr>
                <w:rFonts w:ascii="Arial" w:hAnsi="Arial"/>
                <w:sz w:val="16"/>
              </w:rPr>
              <w:t>)</w:t>
            </w:r>
          </w:p>
        </w:tc>
        <w:tc>
          <w:tcPr>
            <w:tcW w:w="3742" w:type="dxa"/>
            <w:gridSpan w:val="2"/>
            <w:tcBorders>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II quarter 2012</w:t>
            </w:r>
          </w:p>
        </w:tc>
        <w:tc>
          <w:tcPr>
            <w:tcW w:w="3742" w:type="dxa"/>
            <w:gridSpan w:val="2"/>
            <w:tcBorders>
              <w:bottom w:val="single" w:sz="4" w:space="0" w:shadow="0" w:frame="0"/>
              <w:right w:val="none" w:sz="0" w:space="0" w:shadow="0" w:frame="0"/>
            </w:tcBorders>
            <w:vAlign w:val="center"/>
          </w:tcPr>
          <w:p>
            <w:pPr>
              <w:spacing w:before="120" w:after="120"/>
              <w:jc w:val="center"/>
              <w:rPr>
                <w:rFonts w:ascii="Arial" w:hAnsi="Arial"/>
                <w:sz w:val="16"/>
              </w:rPr>
            </w:pPr>
            <w:r>
              <w:rPr>
                <w:rFonts w:ascii="Arial" w:hAnsi="Arial"/>
                <w:sz w:val="16"/>
              </w:rPr>
              <w:t>II quarter 2013</w:t>
            </w:r>
          </w:p>
        </w:tc>
      </w:tr>
      <w:tr>
        <w:trPr>
          <w:wAfter w:w="0" w:type="dxa"/>
        </w:trPr>
        <w:tc>
          <w:tcPr>
            <w:tcW w:w="2325"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jc w:val="center"/>
              <w:rPr>
                <w:rFonts w:ascii="Arial" w:hAnsi="Arial"/>
                <w:sz w:val="16"/>
              </w:rPr>
            </w:pPr>
          </w:p>
        </w:tc>
        <w:tc>
          <w:tcPr>
            <w:tcW w:w="1871" w:type="dxa"/>
            <w:tcBorders>
              <w:left w:val="single" w:sz="4" w:space="0" w:shadow="0" w:frame="0"/>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tcBorders>
            <w:vAlign w:val="center"/>
          </w:tcPr>
          <w:p>
            <w:pPr>
              <w:spacing w:before="60"/>
              <w:jc w:val="center"/>
              <w:rPr>
                <w:rFonts w:ascii="Arial" w:hAnsi="Arial"/>
                <w:sz w:val="16"/>
              </w:rPr>
            </w:pPr>
            <w:r>
              <w:rPr>
                <w:rFonts w:ascii="Arial" w:hAnsi="Arial"/>
                <w:sz w:val="16"/>
              </w:rPr>
              <w:t>up to 2 years</w:t>
            </w:r>
          </w:p>
        </w:tc>
        <w:tc>
          <w:tcPr>
            <w:tcW w:w="1871" w:type="dxa"/>
            <w:tcBorders>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right w:val="none" w:sz="0" w:space="0" w:shadow="0" w:frame="0"/>
            </w:tcBorders>
            <w:vAlign w:val="center"/>
          </w:tcPr>
          <w:p>
            <w:pPr>
              <w:spacing w:before="60"/>
              <w:jc w:val="center"/>
              <w:rPr>
                <w:rFonts w:ascii="Arial" w:hAnsi="Arial"/>
                <w:sz w:val="16"/>
              </w:rPr>
            </w:pPr>
            <w:r>
              <w:rPr>
                <w:rFonts w:ascii="Arial" w:hAnsi="Arial"/>
                <w:sz w:val="16"/>
              </w:rPr>
              <w:t>up to 2 years</w:t>
            </w:r>
          </w:p>
        </w:tc>
      </w:tr>
      <w:tr>
        <w:trPr>
          <w:wAfter w:w="0" w:type="dxa"/>
        </w:trPr>
        <w:tc>
          <w:tcPr>
            <w:tcW w:w="2325"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52" w:before="60"/>
              <w:rPr>
                <w:rFonts w:ascii="Arial" w:hAnsi="Arial"/>
                <w:sz w:val="16"/>
              </w:rPr>
            </w:pPr>
            <w:r>
              <w:rPr>
                <w:rFonts w:ascii="Arial" w:hAnsi="Arial"/>
                <w:b w:val="1"/>
                <w:sz w:val="16"/>
              </w:rPr>
              <w:t>Total</w:t>
            </w: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45" w:before="80"/>
              <w:ind w:right="284"/>
              <w:jc w:val="right"/>
              <w:rPr>
                <w:rFonts w:ascii="Arial" w:hAnsi="Arial"/>
                <w:b w:val="1"/>
                <w:sz w:val="16"/>
              </w:rPr>
            </w:pPr>
            <w:r>
              <w:rPr>
                <w:rFonts w:ascii="Arial" w:hAnsi="Arial"/>
                <w:b w:val="1"/>
                <w:sz w:val="16"/>
              </w:rPr>
              <w:t>35133</w:t>
            </w:r>
          </w:p>
        </w:tc>
        <w:tc>
          <w:tcPr>
            <w:tcW w:w="1871" w:type="dxa"/>
            <w:tcBorders>
              <w:top w:val="single" w:sz="4" w:space="0" w:shadow="0" w:frame="0"/>
              <w:left w:val="none" w:sz="0" w:space="0" w:shadow="0" w:frame="0"/>
              <w:bottom w:val="none" w:sz="0" w:space="0" w:shadow="0" w:frame="0"/>
              <w:right w:val="single" w:sz="4" w:space="0" w:shadow="0" w:frame="0"/>
            </w:tcBorders>
          </w:tcPr>
          <w:p>
            <w:pPr>
              <w:spacing w:lineRule="auto" w:line="245" w:before="80"/>
              <w:ind w:right="284"/>
              <w:jc w:val="right"/>
              <w:rPr>
                <w:rFonts w:ascii="Arial" w:hAnsi="Arial"/>
                <w:b w:val="1"/>
                <w:sz w:val="16"/>
              </w:rPr>
            </w:pPr>
            <w:r>
              <w:rPr>
                <w:rFonts w:ascii="Arial" w:hAnsi="Arial"/>
                <w:b w:val="1"/>
                <w:sz w:val="16"/>
              </w:rPr>
              <w:t>5202</w:t>
            </w:r>
          </w:p>
        </w:tc>
        <w:tc>
          <w:tcPr>
            <w:tcW w:w="1871"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5"/>
              <w:ind w:right="284"/>
              <w:jc w:val="right"/>
              <w:rPr>
                <w:rFonts w:ascii="Arial" w:hAnsi="Arial"/>
                <w:b w:val="1"/>
                <w:sz w:val="16"/>
              </w:rPr>
            </w:pPr>
            <w:r>
              <w:rPr>
                <w:rFonts w:ascii="Arial" w:hAnsi="Arial"/>
                <w:b w:val="1"/>
                <w:sz w:val="16"/>
              </w:rPr>
              <w:t>38470</w:t>
            </w:r>
          </w:p>
        </w:tc>
        <w:tc>
          <w:tcPr>
            <w:tcW w:w="1871" w:type="dxa"/>
            <w:tcBorders>
              <w:top w:val="single" w:sz="4" w:space="0" w:shadow="0" w:frame="0"/>
              <w:left w:val="none" w:sz="0" w:space="0" w:shadow="0" w:frame="0"/>
              <w:bottom w:val="none" w:sz="0" w:space="0" w:shadow="0" w:frame="0"/>
              <w:right w:val="none" w:sz="0" w:space="0" w:shadow="0" w:frame="0"/>
            </w:tcBorders>
            <w:vAlign w:val="center"/>
          </w:tcPr>
          <w:p>
            <w:pPr>
              <w:spacing w:lineRule="auto" w:line="245"/>
              <w:ind w:right="284"/>
              <w:jc w:val="right"/>
              <w:rPr>
                <w:rFonts w:ascii="Arial" w:hAnsi="Arial"/>
                <w:b w:val="1"/>
                <w:sz w:val="16"/>
              </w:rPr>
            </w:pPr>
            <w:r>
              <w:rPr>
                <w:rFonts w:ascii="Arial" w:hAnsi="Arial"/>
                <w:b w:val="1"/>
                <w:sz w:val="16"/>
              </w:rPr>
              <w:t>5284</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center"/>
              <w:rPr>
                <w:rFonts w:ascii="Arial" w:hAnsi="Arial"/>
                <w:b w:val="1"/>
                <w:sz w:val="16"/>
              </w:rPr>
            </w:pPr>
          </w:p>
        </w:tc>
        <w:tc>
          <w:tcPr>
            <w:tcW w:w="3742" w:type="dxa"/>
            <w:gridSpan w:val="2"/>
            <w:tcBorders>
              <w:top w:val="none" w:sz="0" w:space="0" w:shadow="0" w:frame="0"/>
              <w:left w:val="single" w:sz="4" w:space="0" w:shadow="0" w:frame="0"/>
              <w:bottom w:val="none" w:sz="0" w:space="0" w:shadow="0" w:frame="0"/>
              <w:right w:val="single" w:sz="4" w:space="0" w:shadow="0" w:frame="0"/>
            </w:tcBorders>
            <w:vAlign w:val="center"/>
          </w:tcPr>
          <w:p>
            <w:pPr>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petrol</w:t>
            </w:r>
          </w:p>
        </w:tc>
        <w:tc>
          <w:tcPr>
            <w:tcW w:w="3742" w:type="dxa"/>
            <w:gridSpan w:val="2"/>
            <w:tcBorders>
              <w:top w:val="none" w:sz="0" w:space="0" w:shadow="0" w:frame="0"/>
              <w:left w:val="single" w:sz="4" w:space="0" w:shadow="0" w:frame="0"/>
              <w:bottom w:val="none" w:sz="0" w:space="0" w:shadow="0" w:frame="0"/>
              <w:right w:val="none" w:sz="0" w:space="0" w:shadow="0" w:frame="0"/>
            </w:tcBorders>
            <w:vAlign w:val="center"/>
          </w:tcPr>
          <w:p>
            <w:pPr>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petrol</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14821</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b w:val="1"/>
                <w:sz w:val="16"/>
              </w:rPr>
            </w:pPr>
            <w:r>
              <w:rPr>
                <w:rFonts w:ascii="Arial" w:hAnsi="Arial"/>
                <w:b w:val="1"/>
                <w:sz w:val="16"/>
              </w:rPr>
              <w:t>3026</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15351</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3023</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Up to 1399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8539</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2029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9274</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2212</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1400 - 1999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6082</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983</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5900</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798</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2000 and more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200</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14</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177</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13</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center"/>
              <w:rPr>
                <w:rFonts w:ascii="Arial" w:hAnsi="Arial"/>
                <w:b w:val="1"/>
                <w:sz w:val="16"/>
              </w:rPr>
            </w:pPr>
          </w:p>
        </w:tc>
        <w:tc>
          <w:tcPr>
            <w:tcW w:w="3742" w:type="dxa"/>
            <w:gridSpan w:val="2"/>
            <w:tcBorders>
              <w:top w:val="none" w:sz="0" w:space="0" w:shadow="0" w:frame="0"/>
              <w:left w:val="single" w:sz="4" w:space="0" w:shadow="0" w:frame="0"/>
              <w:bottom w:val="none" w:sz="0" w:space="0" w:shadow="0" w:frame="0"/>
              <w:right w:val="single" w:sz="4" w:space="0" w:shadow="0" w:frame="0"/>
            </w:tcBorders>
            <w:vAlign w:val="center"/>
          </w:tcPr>
          <w:p>
            <w:pPr>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diesel</w:t>
            </w:r>
          </w:p>
        </w:tc>
        <w:tc>
          <w:tcPr>
            <w:tcW w:w="3742" w:type="dxa"/>
            <w:gridSpan w:val="2"/>
            <w:tcBorders>
              <w:top w:val="none" w:sz="0" w:space="0" w:shadow="0" w:frame="0"/>
              <w:left w:val="single" w:sz="4" w:space="0" w:shadow="0" w:frame="0"/>
              <w:bottom w:val="none" w:sz="0" w:space="0" w:shadow="0" w:frame="0"/>
              <w:right w:val="none" w:sz="0" w:space="0" w:shadow="0" w:frame="0"/>
            </w:tcBorders>
            <w:vAlign w:val="center"/>
          </w:tcPr>
          <w:p>
            <w:pPr>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diesel</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18924</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b w:val="1"/>
                <w:sz w:val="16"/>
              </w:rPr>
            </w:pPr>
            <w:r>
              <w:rPr>
                <w:rFonts w:ascii="Arial" w:hAnsi="Arial"/>
                <w:b w:val="1"/>
                <w:sz w:val="16"/>
              </w:rPr>
              <w:t>1825</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22176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2081</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Up to 1399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1105</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135</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1527</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174</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1400 - 1999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16445</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1389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18966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1593</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2000 and more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1374</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301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1683</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314</w:t>
            </w:r>
          </w:p>
        </w:tc>
      </w:tr>
    </w:tbl>
    <w:p>
      <w:pPr>
        <w:spacing w:lineRule="auto" w:line="252"/>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spacing w:lineRule="auto" w:line="252" w:after="60"/>
        <w:rPr>
          <w:rFonts w:ascii="Arial" w:hAnsi="Arial"/>
          <w:b w:val="1"/>
          <w:sz w:val="40"/>
        </w:rPr>
      </w:pPr>
    </w:p>
    <w:p>
      <w:pPr>
        <w:spacing w:after="60"/>
        <w:rPr>
          <w:rFonts w:ascii="Arial" w:hAnsi="Arial"/>
          <w:b w:val="1"/>
          <w:sz w:val="20"/>
        </w:rPr>
      </w:pPr>
      <w:r>
        <w:rPr>
          <w:rFonts w:ascii="Arial" w:hAnsi="Arial"/>
          <w:b w:val="1"/>
          <w:sz w:val="20"/>
        </w:rPr>
        <w:t xml:space="preserve">5. </w:t>
      </w:r>
      <w:r>
        <w:rPr>
          <w:rFonts w:ascii="Arial" w:hAnsi="Arial"/>
          <w:b w:val="1"/>
          <w:sz w:val="20"/>
        </w:rPr>
        <w:t>Number of injury road accidents</w:t>
      </w:r>
      <w:r>
        <w:rPr>
          <w:rFonts w:ascii="Arial" w:hAnsi="Arial"/>
          <w:b w:val="1"/>
          <w:sz w:val="20"/>
          <w:vertAlign w:val="superscript"/>
        </w:rPr>
        <w:t>1)</w:t>
      </w:r>
    </w:p>
    <w:tbl>
      <w:tblPr>
        <w:tblStyle w:val="T3"/>
        <w:tblW w:w="0" w:type="auto"/>
        <w:jc w:val="center"/>
        <w:tblLayout w:type="fixed"/>
        <w:tblCellMar>
          <w:left w:w="28" w:type="dxa"/>
          <w:right w:w="28" w:type="dxa"/>
        </w:tblCellMar>
      </w:tblPr>
      <w:tblGrid/>
      <w:tr>
        <w:trPr>
          <w:wAfter w:w="0" w:type="dxa"/>
        </w:trPr>
        <w:tc>
          <w:tcPr>
            <w:tcW w:w="2665" w:type="dxa"/>
            <w:vMerge w:val="restart"/>
            <w:tcBorders>
              <w:top w:val="single" w:sz="4" w:space="0" w:shadow="0" w:frame="0"/>
              <w:left w:val="none" w:sz="0" w:space="0" w:shadow="0" w:frame="0"/>
              <w:bottom w:val="single" w:sz="4" w:space="0" w:shadow="0" w:frame="0"/>
              <w:right w:val="single" w:sz="4" w:space="0" w:shadow="0" w:frame="0"/>
            </w:tcBorders>
            <w:shd w:val="nil" w:color="auto" w:fill="auto"/>
            <w:vAlign w:val="center"/>
          </w:tcPr>
          <w:p>
            <w:pPr>
              <w:spacing w:lineRule="auto" w:line="252"/>
              <w:jc w:val="center"/>
              <w:rPr>
                <w:rFonts w:ascii="Arial" w:hAnsi="Arial"/>
                <w:sz w:val="16"/>
              </w:rPr>
            </w:pPr>
            <w:r>
              <w:rPr>
                <w:rFonts w:ascii="Arial" w:hAnsi="Arial"/>
                <w:sz w:val="16"/>
              </w:rPr>
              <w:t>Location of accidents</w:t>
            </w:r>
          </w:p>
        </w:tc>
        <w:tc>
          <w:tcPr>
            <w:tcW w:w="3573" w:type="dxa"/>
            <w:gridSpan w:val="3"/>
            <w:tcBorders>
              <w:left w:val="single" w:sz="4" w:space="0" w:shadow="0" w:frame="0"/>
            </w:tcBorders>
            <w:shd w:val="nil" w:color="auto" w:fill="auto"/>
            <w:vAlign w:val="center"/>
          </w:tcPr>
          <w:p>
            <w:pPr>
              <w:spacing w:before="120" w:after="120"/>
              <w:jc w:val="center"/>
              <w:rPr>
                <w:rFonts w:ascii="Arial" w:hAnsi="Arial"/>
                <w:sz w:val="16"/>
              </w:rPr>
            </w:pPr>
            <w:r>
              <w:rPr>
                <w:rFonts w:ascii="Arial" w:hAnsi="Arial"/>
                <w:sz w:val="16"/>
              </w:rPr>
              <w:t>II quarter 2012</w:t>
            </w:r>
          </w:p>
        </w:tc>
        <w:tc>
          <w:tcPr>
            <w:tcW w:w="3573" w:type="dxa"/>
            <w:gridSpan w:val="3"/>
            <w:tcBorders>
              <w:right w:val="none" w:sz="0" w:space="0" w:shadow="0" w:frame="0"/>
            </w:tcBorders>
            <w:vAlign w:val="center"/>
          </w:tcPr>
          <w:p>
            <w:pPr>
              <w:spacing w:before="120" w:after="120"/>
              <w:jc w:val="center"/>
              <w:rPr>
                <w:rFonts w:ascii="Arial" w:hAnsi="Arial"/>
                <w:sz w:val="16"/>
              </w:rPr>
            </w:pPr>
            <w:r>
              <w:rPr>
                <w:rFonts w:ascii="Arial" w:hAnsi="Arial"/>
                <w:sz w:val="16"/>
              </w:rPr>
              <w:t>II quarter 2013</w:t>
            </w:r>
          </w:p>
        </w:tc>
      </w:tr>
      <w:tr>
        <w:trPr>
          <w:wAfter w:w="0" w:type="dxa"/>
        </w:trPr>
        <w:tc>
          <w:tcPr>
            <w:tcW w:w="2665" w:type="dxa"/>
            <w:vMerge w:val="continue"/>
            <w:tcBorders>
              <w:top w:val="none" w:sz="0" w:space="0" w:shadow="0" w:frame="0"/>
              <w:left w:val="none" w:sz="0" w:space="0" w:shadow="0" w:frame="0"/>
              <w:bottom w:val="single" w:sz="4" w:space="0" w:shadow="0" w:frame="0"/>
              <w:right w:val="single" w:sz="4" w:space="0" w:shadow="0" w:frame="0"/>
            </w:tcBorders>
            <w:shd w:val="nil" w:color="auto" w:fill="auto"/>
            <w:vAlign w:val="center"/>
          </w:tcPr>
          <w:p>
            <w:pPr>
              <w:spacing w:lineRule="auto" w:line="252"/>
              <w:jc w:val="center"/>
              <w:rPr>
                <w:rFonts w:ascii="Arial" w:hAnsi="Arial"/>
                <w:sz w:val="16"/>
              </w:rPr>
            </w:pPr>
          </w:p>
        </w:tc>
        <w:tc>
          <w:tcPr>
            <w:tcW w:w="1191" w:type="dxa"/>
            <w:tcBorders>
              <w:left w:val="single" w:sz="4" w:space="0" w:shadow="0" w:frame="0"/>
              <w:bottom w:val="single" w:sz="4" w:space="0" w:shadow="0" w:frame="0"/>
            </w:tcBorders>
            <w:shd w:val="nil" w:color="auto" w:fill="auto"/>
            <w:vAlign w:val="center"/>
          </w:tcPr>
          <w:p>
            <w:pPr>
              <w:tabs>
                <w:tab w:val="left" w:pos="3969" w:leader="none"/>
              </w:tabs>
              <w:spacing w:before="40" w:after="40"/>
              <w:ind w:left="-57" w:right="-57"/>
              <w:jc w:val="center"/>
              <w:rPr>
                <w:rFonts w:ascii="Arial" w:hAnsi="Arial"/>
                <w:sz w:val="16"/>
              </w:rPr>
            </w:pPr>
            <w:r>
              <w:rPr>
                <w:rFonts w:ascii="Arial" w:hAnsi="Arial"/>
                <w:sz w:val="16"/>
              </w:rPr>
              <w:t>Total injury accidents</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CTimesRoman" w:hAnsi="CTimesRoman"/>
                <w:sz w:val="16"/>
              </w:rPr>
            </w:pPr>
            <w:r>
              <w:rPr>
                <w:rFonts w:ascii="Arial" w:hAnsi="Arial"/>
                <w:sz w:val="16"/>
              </w:rPr>
              <w:t>with persons killed</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injured</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Arial" w:hAnsi="Arial"/>
                <w:sz w:val="16"/>
              </w:rPr>
            </w:pPr>
            <w:r>
              <w:rPr>
                <w:rFonts w:ascii="Arial" w:hAnsi="Arial"/>
                <w:sz w:val="16"/>
              </w:rPr>
              <w:t>Total injury accidents</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CTimesRoman" w:hAnsi="CTimesRoman"/>
                <w:sz w:val="16"/>
              </w:rPr>
            </w:pPr>
            <w:r>
              <w:rPr>
                <w:rFonts w:ascii="Arial" w:hAnsi="Arial"/>
                <w:sz w:val="16"/>
              </w:rPr>
              <w:t>with persons killed</w:t>
            </w:r>
          </w:p>
        </w:tc>
        <w:tc>
          <w:tcPr>
            <w:tcW w:w="1191" w:type="dxa"/>
            <w:tcBorders>
              <w:bottom w:val="single" w:sz="4" w:space="0" w:shadow="0" w:frame="0"/>
              <w:right w:val="none" w:sz="0" w:space="0" w:shadow="0" w:frame="0"/>
            </w:tcBorders>
            <w:vAlign w:val="center"/>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injured</w:t>
            </w:r>
          </w:p>
        </w:tc>
      </w:tr>
      <w:tr>
        <w:trPr>
          <w:wAfter w:w="0" w:type="dxa"/>
        </w:trPr>
        <w:tc>
          <w:tcPr>
            <w:tcW w:w="266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p>
        </w:tc>
        <w:tc>
          <w:tcPr>
            <w:tcW w:w="11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4"/>
              </w:rPr>
            </w:pPr>
            <w:r>
              <w:rPr>
                <w:rFonts w:ascii="Arial" w:hAnsi="Arial"/>
                <w:b w:val="1"/>
                <w:sz w:val="14"/>
              </w:rPr>
              <w:t>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b w:val="1"/>
                <w:sz w:val="16"/>
              </w:rPr>
            </w:pPr>
            <w:r>
              <w:rPr>
                <w:rFonts w:ascii="Arial" w:hAnsi="Arial"/>
                <w:b w:val="1"/>
                <w:sz w:val="16"/>
              </w:rPr>
              <w:t>3420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b w:val="1"/>
                <w:sz w:val="16"/>
              </w:rPr>
            </w:pPr>
            <w:r>
              <w:rPr>
                <w:rFonts w:ascii="Arial" w:hAnsi="Arial"/>
                <w:b w:val="1"/>
                <w:sz w:val="16"/>
              </w:rPr>
              <w:t>161</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b w:val="1"/>
                <w:sz w:val="16"/>
              </w:rPr>
            </w:pPr>
            <w:r>
              <w:rPr>
                <w:rFonts w:ascii="Arial" w:hAnsi="Arial"/>
                <w:b w:val="1"/>
                <w:sz w:val="16"/>
              </w:rPr>
              <w:t>3259</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3433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129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3304</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4"/>
              </w:rPr>
            </w:pPr>
            <w:r>
              <w:rPr>
                <w:rFonts w:ascii="Arial" w:hAnsi="Arial"/>
                <w:b w:val="1"/>
                <w:sz w:val="14"/>
              </w:rPr>
              <w:t>Within built-up areas - 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b w:val="1"/>
                <w:sz w:val="16"/>
              </w:rPr>
            </w:pPr>
            <w:r>
              <w:rPr>
                <w:rFonts w:ascii="Arial" w:hAnsi="Arial"/>
                <w:b w:val="1"/>
                <w:sz w:val="16"/>
              </w:rPr>
              <w:t>3079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b w:val="1"/>
                <w:sz w:val="16"/>
              </w:rPr>
            </w:pPr>
            <w:r>
              <w:rPr>
                <w:rFonts w:ascii="Arial" w:hAnsi="Arial"/>
                <w:b w:val="1"/>
                <w:sz w:val="16"/>
              </w:rPr>
              <w:t>125</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b w:val="1"/>
                <w:sz w:val="16"/>
              </w:rPr>
            </w:pPr>
            <w:r>
              <w:rPr>
                <w:rFonts w:ascii="Arial" w:hAnsi="Arial"/>
                <w:b w:val="1"/>
                <w:sz w:val="16"/>
              </w:rPr>
              <w:t>2954</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3070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100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2970</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Street</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1613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49</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1564</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1616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1569</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Crossing</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809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14</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795</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774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766</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National roads, Class I and Class II within built-up areas</w:t>
            </w:r>
          </w:p>
        </w:tc>
        <w:tc>
          <w:tcPr>
            <w:tcW w:w="1191" w:type="dxa"/>
            <w:tcBorders>
              <w:top w:val="none" w:sz="0" w:space="0" w:shadow="0" w:frame="0"/>
              <w:left w:val="single" w:sz="4" w:space="0" w:shadow="0" w:frame="0"/>
              <w:bottom w:val="none" w:sz="0" w:space="0" w:shadow="0" w:frame="0"/>
              <w:right w:val="none" w:sz="0" w:space="0" w:shadow="0" w:frame="0"/>
            </w:tcBorders>
            <w:vAlign w:val="center"/>
          </w:tcPr>
          <w:p>
            <w:pPr>
              <w:spacing w:lineRule="auto" w:line="245"/>
              <w:ind w:right="113"/>
              <w:jc w:val="right"/>
              <w:rPr>
                <w:rFonts w:ascii="Arial" w:hAnsi="Arial"/>
                <w:sz w:val="16"/>
              </w:rPr>
            </w:pPr>
            <w:r>
              <w:rPr>
                <w:rFonts w:ascii="Arial" w:hAnsi="Arial"/>
                <w:sz w:val="16"/>
              </w:rPr>
              <w:t>657</w:t>
            </w:r>
          </w:p>
        </w:tc>
        <w:tc>
          <w:tcPr>
            <w:tcW w:w="1191" w:type="dxa"/>
            <w:tcBorders>
              <w:top w:val="none" w:sz="0" w:space="0" w:shadow="0" w:frame="0"/>
              <w:left w:val="none" w:sz="0" w:space="0" w:shadow="0" w:frame="0"/>
              <w:bottom w:val="none" w:sz="0" w:space="0" w:shadow="0" w:frame="0"/>
              <w:right w:val="none" w:sz="0" w:space="0" w:shadow="0" w:frame="0"/>
            </w:tcBorders>
            <w:vAlign w:val="center"/>
          </w:tcPr>
          <w:p>
            <w:pPr>
              <w:spacing w:lineRule="auto" w:line="245"/>
              <w:ind w:right="113"/>
              <w:jc w:val="right"/>
              <w:rPr>
                <w:rFonts w:ascii="Arial" w:hAnsi="Arial"/>
                <w:sz w:val="16"/>
              </w:rPr>
            </w:pPr>
            <w:r>
              <w:rPr>
                <w:rFonts w:ascii="Arial" w:hAnsi="Arial"/>
                <w:sz w:val="16"/>
              </w:rPr>
              <w:t>62</w:t>
            </w:r>
          </w:p>
        </w:tc>
        <w:tc>
          <w:tcPr>
            <w:tcW w:w="1191" w:type="dxa"/>
            <w:tcBorders>
              <w:top w:val="none" w:sz="0" w:space="0" w:shadow="0" w:frame="0"/>
              <w:left w:val="none" w:sz="0" w:space="0" w:shadow="0" w:frame="0"/>
              <w:bottom w:val="none" w:sz="0" w:space="0" w:shadow="0" w:frame="0"/>
              <w:right w:val="single" w:sz="4" w:space="0" w:shadow="0" w:frame="0"/>
            </w:tcBorders>
            <w:vAlign w:val="center"/>
          </w:tcPr>
          <w:p>
            <w:pPr>
              <w:spacing w:lineRule="auto" w:line="245"/>
              <w:ind w:right="113"/>
              <w:jc w:val="right"/>
              <w:rPr>
                <w:rFonts w:ascii="Arial" w:hAnsi="Arial"/>
                <w:sz w:val="16"/>
              </w:rPr>
            </w:pPr>
            <w:r>
              <w:rPr>
                <w:rFonts w:ascii="Arial" w:hAnsi="Arial"/>
                <w:sz w:val="16"/>
              </w:rPr>
              <w:t>595</w:t>
            </w:r>
          </w:p>
        </w:tc>
        <w:tc>
          <w:tcPr>
            <w:tcW w:w="1191"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680</w:t>
            </w:r>
          </w:p>
        </w:tc>
        <w:tc>
          <w:tcPr>
            <w:tcW w:w="1191"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45</w:t>
            </w:r>
          </w:p>
        </w:tc>
        <w:tc>
          <w:tcPr>
            <w:tcW w:w="1191"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635</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4"/>
              </w:rPr>
            </w:pPr>
            <w:r>
              <w:rPr>
                <w:rFonts w:ascii="Arial" w:hAnsi="Arial"/>
                <w:b w:val="1"/>
                <w:sz w:val="14"/>
              </w:rPr>
              <w:t>Outside built-up areas - 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b w:val="1"/>
                <w:sz w:val="16"/>
              </w:rPr>
            </w:pPr>
            <w:r>
              <w:rPr>
                <w:rFonts w:ascii="Arial" w:hAnsi="Arial"/>
                <w:b w:val="1"/>
                <w:sz w:val="16"/>
              </w:rPr>
              <w:t>341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b w:val="1"/>
                <w:sz w:val="16"/>
              </w:rPr>
            </w:pPr>
            <w:r>
              <w:rPr>
                <w:rFonts w:ascii="Arial" w:hAnsi="Arial"/>
                <w:b w:val="1"/>
                <w:sz w:val="16"/>
              </w:rPr>
              <w:t>36</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b w:val="1"/>
                <w:sz w:val="16"/>
              </w:rPr>
            </w:pPr>
            <w:r>
              <w:rPr>
                <w:rFonts w:ascii="Arial" w:hAnsi="Arial"/>
                <w:b w:val="1"/>
                <w:sz w:val="16"/>
              </w:rPr>
              <w:t>305</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363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29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334</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Crossroads - total </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1</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6</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1</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2</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4</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Provincial (municipal) roads</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Open road-total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334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35</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299</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361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29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332</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139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11</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128</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130</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158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20</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138</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175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159</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Provincial (municipal) roads</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37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w:hAnsi="Arial"/>
                <w:sz w:val="16"/>
              </w:rPr>
            </w:pPr>
            <w:r>
              <w:rPr>
                <w:rFonts w:ascii="Arial" w:hAnsi="Arial"/>
                <w:sz w:val="16"/>
              </w:rPr>
              <w:t>4</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113"/>
              <w:jc w:val="right"/>
              <w:rPr>
                <w:rFonts w:ascii="Arial" w:hAnsi="Arial"/>
                <w:sz w:val="16"/>
              </w:rPr>
            </w:pPr>
            <w:r>
              <w:rPr>
                <w:rFonts w:ascii="Arial" w:hAnsi="Arial"/>
                <w:sz w:val="16"/>
              </w:rPr>
              <w:t>33</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43</w:t>
            </w:r>
          </w:p>
        </w:tc>
      </w:tr>
    </w:tbl>
    <w:p>
      <w:pPr>
        <w:spacing w:lineRule="auto" w:line="252"/>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rPr>
          <w:rFonts w:ascii="Arial" w:hAnsi="Arial"/>
          <w:sz w:val="14"/>
        </w:rPr>
      </w:pPr>
      <w:r>
        <w:rPr>
          <w:rFonts w:ascii="Arial" w:hAnsi="Arial"/>
          <w:sz w:val="14"/>
          <w:vertAlign w:val="superscript"/>
        </w:rPr>
        <w:t>1)</w:t>
      </w:r>
      <w:r>
        <w:rPr>
          <w:rFonts w:ascii="Arial" w:hAnsi="Arial"/>
          <w:sz w:val="14"/>
        </w:rPr>
        <w:t xml:space="preserve">  Without data for Kosovo and Metohia.</w:t>
      </w:r>
    </w:p>
    <w:p>
      <w:pPr>
        <w:spacing w:lineRule="auto" w:line="252" w:after="60"/>
        <w:ind w:left="357"/>
        <w:rPr>
          <w:rFonts w:ascii="Arial" w:hAnsi="Arial"/>
          <w:b w:val="1"/>
          <w:sz w:val="40"/>
        </w:rPr>
      </w:pPr>
    </w:p>
    <w:p>
      <w:pPr>
        <w:spacing w:after="60"/>
        <w:rPr>
          <w:rFonts w:ascii="Arial" w:hAnsi="Arial"/>
          <w:b w:val="1"/>
          <w:sz w:val="20"/>
        </w:rPr>
      </w:pPr>
      <w:r>
        <w:rPr>
          <w:rFonts w:ascii="Arial" w:hAnsi="Arial"/>
          <w:b w:val="1"/>
          <w:sz w:val="20"/>
        </w:rPr>
        <w:t xml:space="preserve">6. </w:t>
      </w:r>
      <w:r>
        <w:rPr>
          <w:rFonts w:ascii="Arial" w:hAnsi="Arial"/>
          <w:b w:val="1"/>
          <w:sz w:val="20"/>
        </w:rPr>
        <w:t>Number of casualties</w:t>
      </w:r>
      <w:r>
        <w:rPr>
          <w:rFonts w:ascii="Arial" w:hAnsi="Arial"/>
          <w:b w:val="1"/>
          <w:sz w:val="20"/>
          <w:vertAlign w:val="superscript"/>
        </w:rPr>
        <w:t>1)</w:t>
      </w:r>
    </w:p>
    <w:tbl>
      <w:tblPr>
        <w:tblStyle w:val="T3"/>
        <w:tblW w:w="0" w:type="auto"/>
        <w:jc w:val="center"/>
        <w:tblLayout w:type="autofit"/>
        <w:tblCellMar>
          <w:left w:w="28" w:type="dxa"/>
          <w:right w:w="28" w:type="dxa"/>
        </w:tblCellMar>
      </w:tblPr>
      <w:tblGrid/>
      <w:tr>
        <w:trPr>
          <w:wAfter w:w="0" w:type="dxa"/>
        </w:trPr>
        <w:tc>
          <w:tcPr>
            <w:tcW w:w="2266" w:type="dxa"/>
            <w:vMerge w:val="restart"/>
            <w:tcBorders>
              <w:top w:val="single" w:sz="4" w:space="0" w:shadow="0" w:frame="0"/>
              <w:left w:val="none" w:sz="0" w:space="0" w:shadow="0" w:frame="0"/>
              <w:right w:val="single" w:sz="4" w:space="0" w:shadow="0" w:frame="0"/>
            </w:tcBorders>
            <w:vAlign w:val="center"/>
          </w:tcPr>
          <w:p>
            <w:pPr>
              <w:spacing w:lineRule="auto" w:line="252"/>
              <w:jc w:val="center"/>
              <w:rPr>
                <w:rFonts w:ascii="Arial" w:hAnsi="Arial"/>
                <w:sz w:val="16"/>
              </w:rPr>
            </w:pPr>
            <w:r>
              <w:rPr>
                <w:rFonts w:ascii="Arial" w:hAnsi="Arial"/>
                <w:sz w:val="16"/>
              </w:rPr>
              <w:t>Location of accidents</w:t>
            </w:r>
          </w:p>
        </w:tc>
        <w:tc>
          <w:tcPr>
            <w:tcW w:w="3829" w:type="dxa"/>
            <w:gridSpan w:val="5"/>
            <w:tcBorders>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II quarter 2012</w:t>
            </w:r>
          </w:p>
        </w:tc>
        <w:tc>
          <w:tcPr>
            <w:tcW w:w="3828" w:type="dxa"/>
            <w:gridSpan w:val="5"/>
            <w:tcBorders>
              <w:right w:val="none" w:sz="0" w:space="0" w:shadow="0" w:frame="0"/>
            </w:tcBorders>
            <w:vAlign w:val="center"/>
          </w:tcPr>
          <w:p>
            <w:pPr>
              <w:spacing w:before="120" w:after="120"/>
              <w:jc w:val="center"/>
              <w:rPr>
                <w:rFonts w:ascii="Arial" w:hAnsi="Arial"/>
                <w:sz w:val="16"/>
              </w:rPr>
            </w:pPr>
            <w:r>
              <w:rPr>
                <w:rFonts w:ascii="Arial" w:hAnsi="Arial"/>
                <w:sz w:val="16"/>
              </w:rPr>
              <w:t>II quarter 2013</w:t>
            </w:r>
          </w:p>
        </w:tc>
      </w:tr>
      <w:tr>
        <w:trPr>
          <w:wAfter w:w="0" w:type="dxa"/>
        </w:trPr>
        <w:tc>
          <w:tcPr>
            <w:tcW w:w="2266" w:type="dxa"/>
            <w:vMerge w:val="continue"/>
            <w:tcBorders>
              <w:left w:val="none" w:sz="0" w:space="0" w:shadow="0" w:frame="0"/>
              <w:right w:val="single" w:sz="4" w:space="0" w:shadow="0" w:frame="0"/>
            </w:tcBorders>
            <w:vAlign w:val="center"/>
          </w:tcPr>
          <w:p>
            <w:pPr>
              <w:spacing w:lineRule="auto" w:line="252"/>
              <w:jc w:val="center"/>
              <w:rPr>
                <w:rFonts w:ascii="Arial" w:hAnsi="Arial"/>
                <w:sz w:val="16"/>
              </w:rPr>
            </w:pPr>
          </w:p>
        </w:tc>
        <w:tc>
          <w:tcPr>
            <w:tcW w:w="820" w:type="dxa"/>
            <w:vMerge w:val="restart"/>
            <w:tcBorders>
              <w:left w:val="single" w:sz="4" w:space="0" w:shadow="0" w:frame="0"/>
            </w:tcBorders>
            <w:vAlign w:val="center"/>
          </w:tcPr>
          <w:p>
            <w:pPr>
              <w:jc w:val="center"/>
              <w:rPr>
                <w:rFonts w:ascii="Arial" w:hAnsi="Arial"/>
                <w:sz w:val="16"/>
              </w:rPr>
            </w:pPr>
            <w:r>
              <w:rPr>
                <w:rFonts w:ascii="Arial" w:hAnsi="Arial"/>
                <w:sz w:val="16"/>
              </w:rPr>
              <w:t xml:space="preserve">Total casualties </w:t>
            </w:r>
          </w:p>
        </w:tc>
        <w:tc>
          <w:tcPr>
            <w:tcW w:w="669" w:type="dxa"/>
            <w:vMerge w:val="restart"/>
            <w:vAlign w:val="center"/>
          </w:tcPr>
          <w:p>
            <w:pPr>
              <w:jc w:val="center"/>
              <w:rPr>
                <w:rFonts w:ascii="Arial" w:hAnsi="Arial"/>
                <w:sz w:val="16"/>
              </w:rPr>
            </w:pPr>
            <w:r>
              <w:rPr>
                <w:rFonts w:ascii="Arial" w:hAnsi="Arial"/>
                <w:sz w:val="16"/>
              </w:rPr>
              <w:t>killed</w:t>
            </w:r>
          </w:p>
        </w:tc>
        <w:tc>
          <w:tcPr>
            <w:tcW w:w="2340" w:type="dxa"/>
            <w:gridSpan w:val="3"/>
            <w:tcBorders>
              <w:bottom w:val="single" w:sz="4" w:space="0" w:shadow="0" w:frame="0"/>
            </w:tcBorders>
            <w:vAlign w:val="center"/>
          </w:tcPr>
          <w:p>
            <w:pPr>
              <w:jc w:val="center"/>
              <w:rPr>
                <w:rFonts w:ascii="Arial" w:hAnsi="Arial"/>
                <w:sz w:val="16"/>
              </w:rPr>
            </w:pPr>
            <w:r>
              <w:rPr>
                <w:rFonts w:ascii="Arial" w:hAnsi="Arial"/>
                <w:sz w:val="16"/>
              </w:rPr>
              <w:t>injured</w:t>
            </w:r>
          </w:p>
        </w:tc>
        <w:tc>
          <w:tcPr>
            <w:tcW w:w="819" w:type="dxa"/>
            <w:vMerge w:val="restart"/>
            <w:vAlign w:val="center"/>
          </w:tcPr>
          <w:p>
            <w:pPr>
              <w:jc w:val="center"/>
              <w:rPr>
                <w:rFonts w:ascii="Arial" w:hAnsi="Arial"/>
                <w:sz w:val="16"/>
              </w:rPr>
            </w:pPr>
            <w:r>
              <w:rPr>
                <w:rFonts w:ascii="Arial" w:hAnsi="Arial"/>
                <w:sz w:val="16"/>
              </w:rPr>
              <w:t xml:space="preserve">Total casualties </w:t>
            </w:r>
          </w:p>
        </w:tc>
        <w:tc>
          <w:tcPr>
            <w:tcW w:w="669" w:type="dxa"/>
            <w:vMerge w:val="restart"/>
            <w:vAlign w:val="center"/>
          </w:tcPr>
          <w:p>
            <w:pPr>
              <w:jc w:val="center"/>
              <w:rPr>
                <w:rFonts w:ascii="Arial" w:hAnsi="Arial"/>
                <w:sz w:val="16"/>
              </w:rPr>
            </w:pPr>
            <w:r>
              <w:rPr>
                <w:rFonts w:ascii="Arial" w:hAnsi="Arial"/>
                <w:sz w:val="16"/>
              </w:rPr>
              <w:t>killed</w:t>
            </w:r>
          </w:p>
        </w:tc>
        <w:tc>
          <w:tcPr>
            <w:tcW w:w="2340" w:type="dxa"/>
            <w:gridSpan w:val="3"/>
            <w:tcBorders>
              <w:bottom w:val="single" w:sz="4" w:space="0" w:shadow="0" w:frame="0"/>
              <w:right w:val="none" w:sz="0" w:space="0" w:shadow="0" w:frame="0"/>
            </w:tcBorders>
            <w:vAlign w:val="center"/>
          </w:tcPr>
          <w:p>
            <w:pPr>
              <w:jc w:val="center"/>
              <w:rPr>
                <w:rFonts w:ascii="Arial" w:hAnsi="Arial"/>
                <w:sz w:val="16"/>
              </w:rPr>
            </w:pPr>
            <w:r>
              <w:rPr>
                <w:rFonts w:ascii="Arial" w:hAnsi="Arial"/>
                <w:sz w:val="16"/>
              </w:rPr>
              <w:t>injured</w:t>
            </w:r>
          </w:p>
        </w:tc>
      </w:tr>
      <w:tr>
        <w:trPr>
          <w:wAfter w:w="0" w:type="dxa"/>
        </w:trPr>
        <w:tc>
          <w:tcPr>
            <w:tcW w:w="2266" w:type="dxa"/>
            <w:vMerge w:val="continue"/>
            <w:tcBorders>
              <w:left w:val="none" w:sz="0" w:space="0" w:shadow="0" w:frame="0"/>
              <w:bottom w:val="single" w:sz="4" w:space="0" w:shadow="0" w:frame="0"/>
              <w:right w:val="single" w:sz="4" w:space="0" w:shadow="0" w:frame="0"/>
            </w:tcBorders>
            <w:vAlign w:val="center"/>
          </w:tcPr>
          <w:p>
            <w:pPr>
              <w:spacing w:lineRule="auto" w:line="252"/>
              <w:jc w:val="center"/>
              <w:rPr>
                <w:rFonts w:ascii="Arial" w:hAnsi="Arial"/>
                <w:sz w:val="16"/>
              </w:rPr>
            </w:pPr>
          </w:p>
        </w:tc>
        <w:tc>
          <w:tcPr>
            <w:tcW w:w="820" w:type="dxa"/>
            <w:vMerge w:val="continue"/>
            <w:tcBorders>
              <w:left w:val="single" w:sz="4" w:space="0" w:shadow="0" w:frame="0"/>
              <w:bottom w:val="single" w:sz="4" w:space="0" w:shadow="0" w:frame="0"/>
            </w:tcBorders>
            <w:vAlign w:val="center"/>
          </w:tcPr>
          <w:p>
            <w:pPr>
              <w:jc w:val="center"/>
              <w:rPr>
                <w:rFonts w:ascii="Arial" w:hAnsi="Arial"/>
                <w:sz w:val="16"/>
              </w:rPr>
            </w:pPr>
          </w:p>
        </w:tc>
        <w:tc>
          <w:tcPr>
            <w:tcW w:w="669" w:type="dxa"/>
            <w:vMerge w:val="continue"/>
            <w:tcBorders>
              <w:bottom w:val="single" w:sz="4" w:space="0" w:shadow="0" w:frame="0"/>
            </w:tcBorders>
            <w:vAlign w:val="center"/>
          </w:tcPr>
          <w:p>
            <w:pPr>
              <w:jc w:val="center"/>
              <w:rPr>
                <w:rFonts w:ascii="Arial" w:hAnsi="Arial"/>
                <w:sz w:val="16"/>
              </w:rPr>
            </w:pPr>
          </w:p>
        </w:tc>
        <w:tc>
          <w:tcPr>
            <w:tcW w:w="742" w:type="dxa"/>
            <w:tcBorders>
              <w:bottom w:val="single" w:sz="4" w:space="0" w:shadow="0" w:frame="0"/>
            </w:tcBorders>
            <w:vAlign w:val="center"/>
          </w:tcPr>
          <w:p>
            <w:pPr>
              <w:jc w:val="center"/>
              <w:rPr>
                <w:rFonts w:ascii="Arial" w:hAnsi="Arial"/>
                <w:sz w:val="16"/>
              </w:rPr>
            </w:pPr>
            <w:r>
              <w:rPr>
                <w:rFonts w:ascii="Arial" w:hAnsi="Arial"/>
                <w:sz w:val="16"/>
              </w:rPr>
              <w:t>total</w:t>
            </w:r>
          </w:p>
        </w:tc>
        <w:tc>
          <w:tcPr>
            <w:tcW w:w="748" w:type="dxa"/>
            <w:tcBorders>
              <w:bottom w:val="single" w:sz="4" w:space="0" w:shadow="0" w:frame="0"/>
            </w:tcBorders>
            <w:vAlign w:val="center"/>
          </w:tcPr>
          <w:p>
            <w:pPr>
              <w:jc w:val="center"/>
              <w:rPr>
                <w:rStyle w:val="C6"/>
                <w:rFonts w:ascii="Arial" w:hAnsi="Arial"/>
                <w:sz w:val="16"/>
              </w:rPr>
            </w:pPr>
            <w:r>
              <w:rPr>
                <w:rStyle w:val="C6"/>
                <w:rFonts w:ascii="Arial" w:hAnsi="Arial"/>
                <w:sz w:val="16"/>
              </w:rPr>
              <w:t>seriously</w:t>
            </w:r>
          </w:p>
        </w:tc>
        <w:tc>
          <w:tcPr>
            <w:tcW w:w="850" w:type="dxa"/>
            <w:tcBorders>
              <w:bottom w:val="single" w:sz="4" w:space="0" w:shadow="0" w:frame="0"/>
            </w:tcBorders>
            <w:vAlign w:val="center"/>
          </w:tcPr>
          <w:p>
            <w:pPr>
              <w:jc w:val="center"/>
              <w:rPr>
                <w:rFonts w:ascii="Arial" w:hAnsi="Arial"/>
                <w:sz w:val="16"/>
              </w:rPr>
            </w:pPr>
            <w:r>
              <w:rPr>
                <w:rFonts w:ascii="Arial" w:hAnsi="Arial"/>
                <w:sz w:val="16"/>
              </w:rPr>
              <w:t>slightly</w:t>
            </w:r>
          </w:p>
        </w:tc>
        <w:tc>
          <w:tcPr>
            <w:tcW w:w="819" w:type="dxa"/>
            <w:vMerge w:val="continue"/>
            <w:tcBorders>
              <w:bottom w:val="single" w:sz="4" w:space="0" w:shadow="0" w:frame="0"/>
            </w:tcBorders>
            <w:vAlign w:val="center"/>
          </w:tcPr>
          <w:p>
            <w:pPr>
              <w:jc w:val="center"/>
              <w:rPr>
                <w:rFonts w:ascii="Arial" w:hAnsi="Arial"/>
                <w:sz w:val="16"/>
              </w:rPr>
            </w:pPr>
          </w:p>
        </w:tc>
        <w:tc>
          <w:tcPr>
            <w:tcW w:w="669" w:type="dxa"/>
            <w:vMerge w:val="continue"/>
            <w:tcBorders>
              <w:bottom w:val="single" w:sz="4" w:space="0" w:shadow="0" w:frame="0"/>
            </w:tcBorders>
            <w:vAlign w:val="center"/>
          </w:tcPr>
          <w:p>
            <w:pPr>
              <w:jc w:val="center"/>
              <w:rPr>
                <w:rFonts w:ascii="Arial" w:hAnsi="Arial"/>
                <w:sz w:val="16"/>
              </w:rPr>
            </w:pPr>
          </w:p>
        </w:tc>
        <w:tc>
          <w:tcPr>
            <w:tcW w:w="742" w:type="dxa"/>
            <w:tcBorders>
              <w:bottom w:val="single" w:sz="4" w:space="0" w:shadow="0" w:frame="0"/>
            </w:tcBorders>
            <w:vAlign w:val="center"/>
          </w:tcPr>
          <w:p>
            <w:pPr>
              <w:jc w:val="center"/>
              <w:rPr>
                <w:rFonts w:ascii="Arial" w:hAnsi="Arial"/>
                <w:sz w:val="16"/>
              </w:rPr>
            </w:pPr>
            <w:r>
              <w:rPr>
                <w:rFonts w:ascii="Arial" w:hAnsi="Arial"/>
                <w:sz w:val="16"/>
              </w:rPr>
              <w:t>total</w:t>
            </w:r>
          </w:p>
        </w:tc>
        <w:tc>
          <w:tcPr>
            <w:tcW w:w="748" w:type="dxa"/>
            <w:tcBorders>
              <w:bottom w:val="single" w:sz="4" w:space="0" w:shadow="0" w:frame="0"/>
            </w:tcBorders>
            <w:vAlign w:val="center"/>
          </w:tcPr>
          <w:p>
            <w:pPr>
              <w:jc w:val="center"/>
              <w:rPr>
                <w:rStyle w:val="C6"/>
                <w:rFonts w:ascii="Arial" w:hAnsi="Arial"/>
                <w:sz w:val="16"/>
              </w:rPr>
            </w:pPr>
            <w:r>
              <w:rPr>
                <w:rStyle w:val="C6"/>
                <w:rFonts w:ascii="Arial" w:hAnsi="Arial"/>
                <w:sz w:val="16"/>
              </w:rPr>
              <w:t>seriously</w:t>
            </w:r>
          </w:p>
        </w:tc>
        <w:tc>
          <w:tcPr>
            <w:tcW w:w="850" w:type="dxa"/>
            <w:tcBorders>
              <w:bottom w:val="single" w:sz="4" w:space="0" w:shadow="0" w:frame="0"/>
              <w:right w:val="none" w:sz="0" w:space="0" w:shadow="0" w:frame="0"/>
            </w:tcBorders>
            <w:vAlign w:val="center"/>
          </w:tcPr>
          <w:p>
            <w:pPr>
              <w:jc w:val="center"/>
              <w:rPr>
                <w:rFonts w:ascii="Arial" w:hAnsi="Arial"/>
                <w:sz w:val="16"/>
              </w:rPr>
            </w:pPr>
            <w:r>
              <w:rPr>
                <w:rFonts w:ascii="Arial" w:hAnsi="Arial"/>
                <w:sz w:val="16"/>
              </w:rPr>
              <w:t>slightly</w:t>
            </w:r>
          </w:p>
        </w:tc>
      </w:tr>
      <w:tr>
        <w:trPr>
          <w:wAfter w:w="0" w:type="dxa"/>
        </w:trPr>
        <w:tc>
          <w:tcPr>
            <w:tcW w:w="226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p>
        </w:tc>
        <w:tc>
          <w:tcPr>
            <w:tcW w:w="820"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66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8"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850"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b w:val="1"/>
                <w:sz w:val="16"/>
              </w:rPr>
            </w:pPr>
          </w:p>
        </w:tc>
        <w:tc>
          <w:tcPr>
            <w:tcW w:w="819"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66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8"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4788</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174</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4614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937</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b w:val="1"/>
                <w:sz w:val="16"/>
              </w:rPr>
            </w:pPr>
            <w:r>
              <w:rPr>
                <w:rFonts w:ascii="Arial" w:hAnsi="Arial"/>
                <w:b w:val="1"/>
                <w:sz w:val="16"/>
              </w:rPr>
              <w:t>3677</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4761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136</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4625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881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3744</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Within built-up areas - 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4241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131</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4110</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819</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b w:val="1"/>
                <w:sz w:val="16"/>
              </w:rPr>
            </w:pPr>
            <w:r>
              <w:rPr>
                <w:rFonts w:ascii="Arial" w:hAnsi="Arial"/>
                <w:b w:val="1"/>
                <w:sz w:val="16"/>
              </w:rPr>
              <w:t>3291</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4134</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103</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4031</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730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3301</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Street</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2101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52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2049</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428</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1621</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2091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50</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2041</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387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1654</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Crossing</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1157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15</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1142</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176</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966</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1032</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883</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National roads, Class I and Class II within built-up areas</w:t>
            </w:r>
          </w:p>
        </w:tc>
        <w:tc>
          <w:tcPr>
            <w:tcW w:w="820" w:type="dxa"/>
            <w:tcBorders>
              <w:top w:val="none" w:sz="0" w:space="0" w:shadow="0" w:frame="0"/>
              <w:left w:val="single" w:sz="4" w:space="0" w:shadow="0" w:frame="0"/>
              <w:bottom w:val="none" w:sz="0" w:space="0" w:shadow="0" w:frame="0"/>
              <w:right w:val="none" w:sz="0" w:space="0" w:shadow="0" w:frame="0"/>
            </w:tcBorders>
            <w:vAlign w:val="center"/>
          </w:tcPr>
          <w:p>
            <w:pPr>
              <w:spacing w:lineRule="auto" w:line="245"/>
              <w:ind w:right="57"/>
              <w:jc w:val="right"/>
              <w:rPr>
                <w:rFonts w:ascii="Arial" w:hAnsi="Arial"/>
                <w:sz w:val="16"/>
              </w:rPr>
            </w:pPr>
            <w:r>
              <w:rPr>
                <w:rFonts w:ascii="Arial" w:hAnsi="Arial"/>
                <w:sz w:val="16"/>
              </w:rPr>
              <w:t>983</w:t>
            </w:r>
          </w:p>
        </w:tc>
        <w:tc>
          <w:tcPr>
            <w:tcW w:w="669" w:type="dxa"/>
            <w:tcBorders>
              <w:top w:val="none" w:sz="0" w:space="0" w:shadow="0" w:frame="0"/>
              <w:left w:val="none" w:sz="0" w:space="0" w:shadow="0" w:frame="0"/>
              <w:bottom w:val="none" w:sz="0" w:space="0" w:shadow="0" w:frame="0"/>
              <w:right w:val="none" w:sz="0" w:space="0" w:shadow="0" w:frame="0"/>
            </w:tcBorders>
            <w:vAlign w:val="center"/>
          </w:tcPr>
          <w:p>
            <w:pPr>
              <w:spacing w:lineRule="auto" w:line="245"/>
              <w:ind w:right="57"/>
              <w:jc w:val="right"/>
              <w:rPr>
                <w:rFonts w:ascii="Arial" w:hAnsi="Arial"/>
                <w:sz w:val="16"/>
              </w:rPr>
            </w:pPr>
            <w:r>
              <w:rPr>
                <w:rFonts w:ascii="Arial" w:hAnsi="Arial"/>
                <w:sz w:val="16"/>
              </w:rPr>
              <w:t>64</w:t>
            </w:r>
          </w:p>
        </w:tc>
        <w:tc>
          <w:tcPr>
            <w:tcW w:w="742" w:type="dxa"/>
            <w:tcBorders>
              <w:top w:val="none" w:sz="0" w:space="0" w:shadow="0" w:frame="0"/>
              <w:left w:val="none" w:sz="0" w:space="0" w:shadow="0" w:frame="0"/>
              <w:bottom w:val="none" w:sz="0" w:space="0" w:shadow="0" w:frame="0"/>
              <w:right w:val="none" w:sz="0" w:space="0" w:shadow="0" w:frame="0"/>
            </w:tcBorders>
            <w:vAlign w:val="center"/>
          </w:tcPr>
          <w:p>
            <w:pPr>
              <w:spacing w:lineRule="auto" w:line="245"/>
              <w:ind w:right="57"/>
              <w:jc w:val="right"/>
              <w:rPr>
                <w:rFonts w:ascii="Arial" w:hAnsi="Arial"/>
                <w:sz w:val="16"/>
              </w:rPr>
            </w:pPr>
            <w:r>
              <w:rPr>
                <w:rFonts w:ascii="Arial" w:hAnsi="Arial"/>
                <w:sz w:val="16"/>
              </w:rPr>
              <w:t>919</w:t>
            </w:r>
          </w:p>
        </w:tc>
        <w:tc>
          <w:tcPr>
            <w:tcW w:w="748" w:type="dxa"/>
            <w:tcBorders>
              <w:top w:val="none" w:sz="0" w:space="0" w:shadow="0" w:frame="0"/>
              <w:left w:val="none" w:sz="0" w:space="0" w:shadow="0" w:frame="0"/>
              <w:bottom w:val="none" w:sz="0" w:space="0" w:shadow="0" w:frame="0"/>
              <w:right w:val="none" w:sz="0" w:space="0" w:shadow="0" w:frame="0"/>
            </w:tcBorders>
            <w:vAlign w:val="center"/>
          </w:tcPr>
          <w:p>
            <w:pPr>
              <w:spacing w:lineRule="auto" w:line="245"/>
              <w:ind w:right="57"/>
              <w:jc w:val="right"/>
              <w:rPr>
                <w:rFonts w:ascii="Arial" w:hAnsi="Arial"/>
                <w:sz w:val="16"/>
              </w:rPr>
            </w:pPr>
            <w:r>
              <w:rPr>
                <w:rFonts w:ascii="Arial" w:hAnsi="Arial"/>
                <w:sz w:val="16"/>
              </w:rPr>
              <w:t>215</w:t>
            </w:r>
          </w:p>
        </w:tc>
        <w:tc>
          <w:tcPr>
            <w:tcW w:w="85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5"/>
              <w:ind w:right="57"/>
              <w:jc w:val="right"/>
              <w:rPr>
                <w:rFonts w:ascii="Arial" w:hAnsi="Arial"/>
                <w:sz w:val="16"/>
              </w:rPr>
            </w:pPr>
            <w:r>
              <w:rPr>
                <w:rFonts w:ascii="Arial" w:hAnsi="Arial"/>
                <w:sz w:val="16"/>
              </w:rPr>
              <w:t>704</w:t>
            </w:r>
          </w:p>
        </w:tc>
        <w:tc>
          <w:tcPr>
            <w:tcW w:w="819" w:type="dxa"/>
            <w:tcBorders>
              <w:top w:val="none" w:sz="0" w:space="0" w:shadow="0" w:frame="0"/>
              <w:left w:val="single" w:sz="4"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1011</w:t>
            </w:r>
          </w:p>
        </w:tc>
        <w:tc>
          <w:tcPr>
            <w:tcW w:w="669"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46</w:t>
            </w:r>
          </w:p>
        </w:tc>
        <w:tc>
          <w:tcPr>
            <w:tcW w:w="742"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965</w:t>
            </w:r>
          </w:p>
        </w:tc>
        <w:tc>
          <w:tcPr>
            <w:tcW w:w="748"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201</w:t>
            </w:r>
          </w:p>
        </w:tc>
        <w:tc>
          <w:tcPr>
            <w:tcW w:w="850"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sz w:val="16"/>
              </w:rPr>
            </w:pPr>
            <w:r>
              <w:rPr>
                <w:rFonts w:ascii="Arial" w:hAnsi="Arial"/>
                <w:sz w:val="16"/>
              </w:rPr>
              <w:t>764</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Outside built-up areas - 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547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43</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504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b w:val="1"/>
                <w:sz w:val="16"/>
              </w:rPr>
            </w:pPr>
            <w:r>
              <w:rPr>
                <w:rFonts w:ascii="Arial" w:hAnsi="Arial"/>
                <w:b w:val="1"/>
                <w:sz w:val="16"/>
              </w:rPr>
              <w:t>118</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b w:val="1"/>
                <w:sz w:val="16"/>
              </w:rPr>
            </w:pPr>
            <w:r>
              <w:rPr>
                <w:rFonts w:ascii="Arial" w:hAnsi="Arial"/>
                <w:b w:val="1"/>
                <w:sz w:val="16"/>
              </w:rPr>
              <w:t>386</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627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33</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594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443</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Crossroads - total </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17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15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6</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9</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10</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8</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6</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2</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7</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7</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Provincial (municipal) roads</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Open road-total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530</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41</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489</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112</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377</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621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33</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588</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437</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226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12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214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53</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161</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246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237</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181</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257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24</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233</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52</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181</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295</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19</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276</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198</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Provincial (municipal) roads</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47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5</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42</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57"/>
              <w:jc w:val="right"/>
              <w:rPr>
                <w:rFonts w:ascii="Arial" w:hAnsi="Arial"/>
                <w:sz w:val="16"/>
              </w:rPr>
            </w:pPr>
            <w:r>
              <w:rPr>
                <w:rFonts w:ascii="Arial" w:hAnsi="Arial"/>
                <w:sz w:val="16"/>
              </w:rPr>
              <w:t>7</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6"/>
              </w:rPr>
            </w:pPr>
            <w:r>
              <w:rPr>
                <w:rFonts w:ascii="Arial" w:hAnsi="Arial"/>
                <w:sz w:val="16"/>
              </w:rPr>
              <w:t>35</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80</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58</w:t>
            </w:r>
          </w:p>
        </w:tc>
      </w:tr>
    </w:tbl>
    <w:p>
      <w:pPr>
        <w:spacing w:lineRule="auto" w:line="252"/>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rPr>
          <w:rFonts w:ascii="Arial" w:hAnsi="Arial"/>
          <w:sz w:val="14"/>
        </w:rPr>
      </w:pPr>
      <w:r>
        <w:rPr>
          <w:rFonts w:ascii="Arial" w:hAnsi="Arial"/>
          <w:sz w:val="14"/>
          <w:vertAlign w:val="superscript"/>
        </w:rPr>
        <w:t>1)</w:t>
      </w:r>
      <w:r>
        <w:rPr>
          <w:rFonts w:ascii="Arial" w:hAnsi="Arial"/>
          <w:sz w:val="14"/>
        </w:rPr>
        <w:t xml:space="preserve">  Without data for Kosovo and Metohia.</w:t>
      </w: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60"/>
        </w:trPr>
        <w:tc>
          <w:tcPr>
            <w:tcW w:w="9639" w:type="dxa"/>
          </w:tcPr>
          <w:p>
            <w:pPr>
              <w:jc w:val="both"/>
              <w:rPr>
                <w:rFonts w:ascii="Arial" w:hAnsi="Arial"/>
                <w:sz w:val="2"/>
              </w:rPr>
            </w:pPr>
          </w:p>
        </w:tc>
      </w:tr>
    </w:tbl>
    <w:p>
      <w:pPr>
        <w:spacing w:before="120"/>
        <w:jc w:val="center"/>
        <w:rPr>
          <w:rFonts w:ascii="Arial" w:hAnsi="Arial"/>
          <w:sz w:val="18"/>
        </w:rPr>
      </w:pPr>
      <w:r>
        <w:rPr>
          <w:rFonts w:ascii="Arial" w:hAnsi="Arial"/>
          <w:sz w:val="18"/>
        </w:rPr>
        <w:t>Contact:</w:t>
      </w:r>
      <w:r>
        <w:rPr>
          <w:i w:val="1"/>
          <w:sz w:val="18"/>
        </w:rPr>
        <w:t xml:space="preserve">  </w:t>
      </w:r>
      <w:r>
        <w:rPr>
          <w:rFonts w:ascii="Arial" w:hAnsi="Arial"/>
          <w:color w:val="0000FF"/>
          <w:sz w:val="18"/>
        </w:rPr>
        <w:t>daliborka.vujin@stat.gov.rs</w:t>
      </w:r>
      <w:r>
        <w:rPr>
          <w:rFonts w:ascii="Arial" w:hAnsi="Arial"/>
          <w:sz w:val="18"/>
        </w:rPr>
        <w:t xml:space="preserve">  phone: +381 11 3617-321</w:t>
      </w:r>
    </w:p>
    <w:p>
      <w:pPr>
        <w:ind w:left="198" w:right="29"/>
        <w:jc w:val="center"/>
        <w:rPr>
          <w:rFonts w:ascii="Arial" w:hAnsi="Arial"/>
          <w:sz w:val="18"/>
        </w:rPr>
      </w:pPr>
      <w:r>
        <w:rPr>
          <w:rFonts w:ascii="Arial" w:hAnsi="Arial"/>
          <w:sz w:val="18"/>
        </w:rPr>
        <w:t xml:space="preserve">Published and printed by: Statistical Office of the Republic of Serbia, Milana Rakica 5, Belgrade </w:t>
      </w:r>
    </w:p>
    <w:p>
      <w:pPr>
        <w:ind w:left="198" w:right="29"/>
        <w:jc w:val="center"/>
        <w:rPr>
          <w:rFonts w:ascii="Arial" w:hAnsi="Arial"/>
          <w:sz w:val="18"/>
        </w:rPr>
      </w:pPr>
      <w:r>
        <w:rPr>
          <w:rFonts w:ascii="Arial" w:hAnsi="Arial"/>
          <w:sz w:val="18"/>
        </w:rPr>
        <w:t xml:space="preserve">Phone: +381 11 2412922 ● Fax: +381 11 2411260 ● www.stat.gov.rs </w:t>
      </w:r>
    </w:p>
    <w:p>
      <w:pPr>
        <w:ind w:left="198" w:right="29"/>
        <w:jc w:val="center"/>
        <w:rPr>
          <w:sz w:val="18"/>
        </w:rPr>
      </w:pPr>
      <w:r>
        <w:rPr>
          <w:rFonts w:ascii="Arial" w:hAnsi="Arial"/>
          <w:sz w:val="18"/>
        </w:rPr>
        <w:t>Responsible: Dragan Vukmirovic, PhD, Director</w:t>
        <w:br w:type="textWrapping"/>
        <w:t>Circulation: 20 • Issued quarterly</w:t>
      </w:r>
    </w:p>
    <w:p>
      <w:pPr>
        <w:spacing w:after="60"/>
        <w:ind w:left="357"/>
        <w:rPr>
          <w:rFonts w:ascii="Arial" w:hAnsi="Arial"/>
          <w:b w:val="1"/>
          <w:sz w:val="20"/>
        </w:rPr>
      </w:pPr>
    </w:p>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rPr>
        <w:rFonts w:ascii="Arial" w:hAnsi="Arial"/>
        <w:sz w:val="16"/>
      </w:rPr>
    </w:pPr>
    <w:r>
      <w:rPr>
        <w:rFonts w:ascii="Arial" w:hAnsi="Arial"/>
        <w:sz w:val="16"/>
      </w:rPr>
      <w:t>SERB217 SV22 300813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SERB217 SV22 300813</w:t>
    </w:r>
  </w:p>
  <w:p>
    <w:pPr>
      <w:pStyle w:val="P16"/>
      <w:pBdr>
        <w:top w:val="single" w:sz="4" w:space="0" w:shadow="0" w:frame="0"/>
      </w:pBdr>
      <w:jc w:val="right"/>
      <w:rPr>
        <w:rFonts w:ascii="Arial" w:hAnsi="Arial"/>
        <w:sz w:val="2"/>
      </w:rPr>
    </w:pPr>
  </w:p>
</w:ftr>
</file>

<file path=word/numbering.xml><?xml version="1.0" encoding="utf-8"?>
<w:numbering xmlns:w="http://schemas.openxmlformats.org/wordprocessingml/2006/main">
  <w:abstractNum w:abstractNumId="0">
    <w:nsid w:val="21AD2CF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4115036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6B666B95"/>
    <w:multiLevelType w:val="hybridMultilevel"/>
    <w:lvl w:ilvl="0" w:tplc="61DB997B">
      <w:start w:val="0"/>
      <w:numFmt w:val="bullet"/>
      <w:suff w:val="tab"/>
      <w:lvlText w:val="-"/>
      <w:lvlJc w:val="left"/>
      <w:pPr>
        <w:ind w:hanging="360" w:left="720"/>
        <w:tabs>
          <w:tab w:val="left" w:pos="720" w:leader="none"/>
        </w:tabs>
      </w:pPr>
      <w:rPr>
        <w:rFonts w:ascii="Times New Roman" w:hAnsi="Times New Roman"/>
      </w:rPr>
    </w:lvl>
    <w:lvl w:ilvl="1" w:tplc="7AE1790E">
      <w:start w:val="1"/>
      <w:numFmt w:val="bullet"/>
      <w:suff w:val="tab"/>
      <w:lvlText w:val="o"/>
      <w:lvlJc w:val="left"/>
      <w:pPr>
        <w:ind w:hanging="360" w:left="1440"/>
        <w:tabs>
          <w:tab w:val="left" w:pos="1440" w:leader="none"/>
        </w:tabs>
      </w:pPr>
      <w:rPr>
        <w:rFonts w:ascii="Courier New" w:hAnsi="Courier New"/>
      </w:rPr>
    </w:lvl>
    <w:lvl w:ilvl="2" w:tplc="27346BA8">
      <w:start w:val="1"/>
      <w:numFmt w:val="bullet"/>
      <w:suff w:val="tab"/>
      <w:lvlText w:val=""/>
      <w:lvlJc w:val="left"/>
      <w:pPr>
        <w:ind w:hanging="360" w:left="2160"/>
        <w:tabs>
          <w:tab w:val="left" w:pos="2160" w:leader="none"/>
        </w:tabs>
      </w:pPr>
      <w:rPr>
        <w:rFonts w:ascii="Wingdings" w:hAnsi="Wingdings"/>
      </w:rPr>
    </w:lvl>
    <w:lvl w:ilvl="3" w:tplc="3565B135">
      <w:start w:val="1"/>
      <w:numFmt w:val="bullet"/>
      <w:suff w:val="tab"/>
      <w:lvlText w:val=""/>
      <w:lvlJc w:val="left"/>
      <w:pPr>
        <w:ind w:hanging="360" w:left="2880"/>
        <w:tabs>
          <w:tab w:val="left" w:pos="2880" w:leader="none"/>
        </w:tabs>
      </w:pPr>
      <w:rPr>
        <w:rFonts w:ascii="Symbol" w:hAnsi="Symbol"/>
      </w:rPr>
    </w:lvl>
    <w:lvl w:ilvl="4" w:tplc="60F2D036">
      <w:start w:val="1"/>
      <w:numFmt w:val="bullet"/>
      <w:suff w:val="tab"/>
      <w:lvlText w:val="o"/>
      <w:lvlJc w:val="left"/>
      <w:pPr>
        <w:ind w:hanging="360" w:left="3600"/>
        <w:tabs>
          <w:tab w:val="left" w:pos="3600" w:leader="none"/>
        </w:tabs>
      </w:pPr>
      <w:rPr>
        <w:rFonts w:ascii="Courier New" w:hAnsi="Courier New"/>
      </w:rPr>
    </w:lvl>
    <w:lvl w:ilvl="5" w:tplc="773B9001">
      <w:start w:val="1"/>
      <w:numFmt w:val="bullet"/>
      <w:suff w:val="tab"/>
      <w:lvlText w:val=""/>
      <w:lvlJc w:val="left"/>
      <w:pPr>
        <w:ind w:hanging="360" w:left="4320"/>
        <w:tabs>
          <w:tab w:val="left" w:pos="4320" w:leader="none"/>
        </w:tabs>
      </w:pPr>
      <w:rPr>
        <w:rFonts w:ascii="Wingdings" w:hAnsi="Wingdings"/>
      </w:rPr>
    </w:lvl>
    <w:lvl w:ilvl="6" w:tplc="77045D73">
      <w:start w:val="1"/>
      <w:numFmt w:val="bullet"/>
      <w:suff w:val="tab"/>
      <w:lvlText w:val=""/>
      <w:lvlJc w:val="left"/>
      <w:pPr>
        <w:ind w:hanging="360" w:left="5040"/>
        <w:tabs>
          <w:tab w:val="left" w:pos="5040" w:leader="none"/>
        </w:tabs>
      </w:pPr>
      <w:rPr>
        <w:rFonts w:ascii="Symbol" w:hAnsi="Symbol"/>
      </w:rPr>
    </w:lvl>
    <w:lvl w:ilvl="7" w:tplc="04BA70FD">
      <w:start w:val="1"/>
      <w:numFmt w:val="bullet"/>
      <w:suff w:val="tab"/>
      <w:lvlText w:val="o"/>
      <w:lvlJc w:val="left"/>
      <w:pPr>
        <w:ind w:hanging="360" w:left="5760"/>
        <w:tabs>
          <w:tab w:val="left" w:pos="5760" w:leader="none"/>
        </w:tabs>
      </w:pPr>
      <w:rPr>
        <w:rFonts w:ascii="Courier New" w:hAnsi="Courier New"/>
      </w:rPr>
    </w:lvl>
    <w:lvl w:ilvl="8" w:tplc="65731671">
      <w:start w:val="1"/>
      <w:numFmt w:val="bullet"/>
      <w:suff w:val="tab"/>
      <w:lvlText w:val=""/>
      <w:lvlJc w:val="left"/>
      <w:pPr>
        <w:ind w:hanging="360" w:left="6480"/>
        <w:tabs>
          <w:tab w:val="left" w:pos="6480" w:leader="none"/>
        </w:tabs>
      </w:pPr>
      <w:rPr>
        <w:rFonts w:ascii="Wingdings" w:hAnsi="Wingdings"/>
      </w:rPr>
    </w:lvl>
  </w:abstractNum>
  <w:num w:numId="1">
    <w:abstractNumId w:val="2"/>
  </w:num>
  <w:num w:numId="2">
    <w:abstractNumId w:val="1"/>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short_text"/>
    <w:basedOn w:val="C0"/>
    <w:rPr/>
  </w:style>
  <w:style w:type="character" w:styleId="C6">
    <w:name w:val="hps"/>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2013-07-29T08:03:00Z</dcterms:created>
  <cp:lastModifiedBy>Nikola Kapetanovic</cp:lastModifiedBy>
  <cp:lastPrinted>2011-03-29T08:15:00Z</cp:lastPrinted>
  <dcterms:modified xsi:type="dcterms:W3CDTF">2020-01-10T11:42:36Z</dcterms:modified>
  <cp:revision>5</cp:revision>
  <dc:title>Промет робе у трговини на мало у Републици Србији, јануар 2003</dc:title>
</cp:coreProperties>
</file>