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AA87F29" Type="http://schemas.openxmlformats.org/officeDocument/2006/relationships/officeDocument" Target="/word/document.xml" /><Relationship Id="coreR2AA87F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387"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3062"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387"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3062" w:type="dxa"/>
            <w:tcBorders>
              <w:top w:val="none" w:sz="0" w:space="0" w:shadow="0" w:frame="0"/>
              <w:bottom w:val="none" w:sz="0" w:space="0" w:shadow="0" w:frame="0"/>
              <w:right w:val="none" w:sz="0" w:space="0" w:shadow="0" w:frame="0"/>
            </w:tcBorders>
            <w:vAlign w:val="center"/>
          </w:tcPr>
          <w:p>
            <w:pPr>
              <w:pStyle w:val="P2"/>
              <w:jc w:val="right"/>
              <w:rPr>
                <w:b w:val="1"/>
              </w:rPr>
            </w:pPr>
            <w:r>
              <w:rPr>
                <w:b w:val="0"/>
              </w:rPr>
              <w:t>ISSN 0353-9555</w:t>
            </w:r>
          </w:p>
        </w:tc>
      </w:tr>
      <w:tr>
        <w:trPr>
          <w:wAfter w:w="0" w:type="dxa"/>
          <w:trHeight w:hRule="atLeast" w:val="855"/>
        </w:trPr>
        <w:tc>
          <w:tcPr>
            <w:tcW w:w="7130"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3062"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PS10</w:t>
            </w:r>
          </w:p>
        </w:tc>
      </w:tr>
      <w:tr>
        <w:trPr>
          <w:wAfter w:w="0" w:type="dxa"/>
          <w:trHeight w:hRule="exact" w:val="285"/>
        </w:trPr>
        <w:tc>
          <w:tcPr>
            <w:tcW w:w="7130"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202 – Year LXIII, 15/07/2013</w:t>
            </w:r>
          </w:p>
        </w:tc>
        <w:tc>
          <w:tcPr>
            <w:tcW w:w="3062"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7130" w:type="dxa"/>
            <w:gridSpan w:val="2"/>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Style w:val="C3"/>
                <w:rFonts w:ascii="Arial" w:hAnsi="Arial"/>
              </w:rPr>
              <w:t>Quarterly business activities of enterprises</w:t>
            </w:r>
          </w:p>
        </w:tc>
        <w:tc>
          <w:tcPr>
            <w:tcW w:w="3062" w:type="dxa"/>
            <w:tcBorders>
              <w:top w:val="none" w:sz="0" w:space="0" w:shadow="0" w:frame="0"/>
              <w:left w:val="none" w:sz="0" w:space="0" w:shadow="0" w:frame="0"/>
              <w:bottom w:val="single" w:sz="18" w:space="0" w:shadow="0" w:frame="0" w:color="808080"/>
              <w:right w:val="none" w:sz="0" w:space="0" w:shadow="0" w:frame="0"/>
            </w:tcBorders>
            <w:vAlign w:val="center"/>
          </w:tcPr>
          <w:p>
            <w:pPr>
              <w:pStyle w:val="P3"/>
              <w:jc w:val="right"/>
              <w:rPr>
                <w:b w:val="1"/>
              </w:rPr>
            </w:pPr>
            <w:r>
              <w:rPr>
                <w:b w:val="0"/>
                <w:sz w:val="20"/>
              </w:rPr>
              <w:t>SERB</w:t>
            </w:r>
            <w:r>
              <w:rPr>
                <w:b w:val="0"/>
                <w:sz w:val="20"/>
              </w:rPr>
              <w:t>202</w:t>
            </w:r>
            <w:r>
              <w:rPr>
                <w:b w:val="0"/>
                <w:sz w:val="20"/>
              </w:rPr>
              <w:t xml:space="preserve"> PS10 1</w:t>
            </w:r>
            <w:r>
              <w:rPr>
                <w:b w:val="0"/>
                <w:sz w:val="20"/>
              </w:rPr>
              <w:t>5</w:t>
            </w:r>
            <w:r>
              <w:rPr>
                <w:b w:val="0"/>
                <w:sz w:val="20"/>
              </w:rPr>
              <w:t>0</w:t>
            </w:r>
            <w:r>
              <w:rPr>
                <w:b w:val="0"/>
                <w:sz w:val="20"/>
              </w:rPr>
              <w:t>7</w:t>
            </w:r>
            <w:r>
              <w:rPr>
                <w:b w:val="0"/>
                <w:sz w:val="20"/>
              </w:rPr>
              <w:t>13</w:t>
            </w:r>
          </w:p>
        </w:tc>
      </w:tr>
    </w:tbl>
    <w:p>
      <w:pPr>
        <w:spacing w:lineRule="auto" w:line="233" w:before="600"/>
        <w:jc w:val="center"/>
        <w:rPr>
          <w:rFonts w:ascii="Arial" w:hAnsi="Arial"/>
          <w:b w:val="1"/>
        </w:rPr>
      </w:pPr>
      <w:r>
        <w:rPr>
          <w:rFonts w:ascii="Arial" w:hAnsi="Arial"/>
          <w:b w:val="1"/>
        </w:rPr>
        <w:t>Quarterly business activities of enterprises in the Republic of Serbia</w:t>
      </w:r>
    </w:p>
    <w:p>
      <w:pPr>
        <w:spacing w:lineRule="auto" w:line="233" w:before="120" w:after="120"/>
        <w:jc w:val="center"/>
        <w:rPr>
          <w:rFonts w:ascii="Arial" w:hAnsi="Arial"/>
          <w:b w:val="1"/>
        </w:rPr>
      </w:pPr>
      <w:r>
        <w:rPr>
          <w:rFonts w:ascii="Arial" w:hAnsi="Arial"/>
          <w:b w:val="1"/>
        </w:rPr>
        <w:t xml:space="preserve">I </w:t>
      </w:r>
      <w:r>
        <w:rPr>
          <w:rFonts w:ascii="Arial" w:hAnsi="Arial"/>
          <w:b w:val="1"/>
        </w:rPr>
        <w:t>quarter 2013</w:t>
      </w:r>
    </w:p>
    <w:p>
      <w:pPr>
        <w:spacing w:lineRule="auto" w:line="233" w:after="240"/>
        <w:jc w:val="center"/>
        <w:rPr>
          <w:rFonts w:ascii="Arial" w:hAnsi="Arial"/>
          <w:b w:val="1"/>
          <w:sz w:val="22"/>
        </w:rPr>
      </w:pPr>
      <w:r>
        <w:rPr>
          <w:rFonts w:ascii="Arial" w:hAnsi="Arial"/>
          <w:b w:val="1"/>
          <w:sz w:val="22"/>
        </w:rPr>
        <w:t xml:space="preserve">– Preliminary data –  </w:t>
      </w:r>
    </w:p>
    <w:p>
      <w:pPr>
        <w:spacing w:lineRule="auto" w:line="233" w:before="120"/>
        <w:ind w:firstLine="397"/>
        <w:jc w:val="both"/>
        <w:rPr>
          <w:rFonts w:ascii="Arial" w:hAnsi="Arial"/>
          <w:sz w:val="20"/>
        </w:rPr>
      </w:pPr>
      <w:r>
        <w:rPr>
          <w:rFonts w:ascii="Arial" w:hAnsi="Arial"/>
          <w:sz w:val="20"/>
        </w:rPr>
        <w:t xml:space="preserve">Operating income in non-financial business economy in the Republic of Serbia in the first quarter of 2013 increased by 7.3% relative to the same period of the previous year, while compared to the fourth quarter of 2012, the decrease of 16.1% was noted. </w:t>
      </w:r>
    </w:p>
    <w:p>
      <w:pPr>
        <w:spacing w:lineRule="auto" w:line="233" w:before="120"/>
        <w:ind w:firstLine="397"/>
        <w:jc w:val="both"/>
        <w:rPr>
          <w:b w:val="1"/>
          <w:sz w:val="16"/>
        </w:rPr>
      </w:pPr>
      <w:r>
        <w:rPr>
          <w:rFonts w:ascii="Arial" w:hAnsi="Arial"/>
          <w:sz w:val="20"/>
        </w:rPr>
        <w:t>Operating costs in non-financial business economy in the first quarter of 2013 increased by 4.2% relative to the same period of the previous year, while compared to the fourth quarter of 2012, the decrease of 17.9% was noted.</w:t>
      </w:r>
      <w:r>
        <w:rPr>
          <w:b w:val="1"/>
          <w:sz w:val="16"/>
        </w:rPr>
        <w:t xml:space="preserve"> </w:t>
      </w:r>
    </w:p>
    <w:p>
      <w:pPr>
        <w:spacing w:lineRule="auto" w:line="233" w:before="360" w:after="120"/>
        <w:ind w:firstLine="397"/>
        <w:jc w:val="center"/>
        <w:rPr>
          <w:rFonts w:ascii="Arial" w:hAnsi="Arial"/>
          <w:b w:val="1"/>
          <w:sz w:val="20"/>
        </w:rPr>
      </w:pPr>
      <w:r>
        <w:rPr>
          <w:rFonts w:ascii="Arial" w:hAnsi="Arial"/>
          <w:b w:val="1"/>
          <w:sz w:val="20"/>
        </w:rPr>
        <w:t>Indices of operating income and costs in non-financial business economy</w:t>
      </w:r>
    </w:p>
    <w:p>
      <w:pPr>
        <w:spacing w:lineRule="auto" w:line="233"/>
        <w:rPr>
          <w:rFonts w:ascii="Arial" w:hAnsi="Arial"/>
          <w:b w:val="1"/>
          <w:sz w:val="18"/>
        </w:rPr>
      </w:pPr>
      <w:r>
        <w:rPr>
          <w:rFonts w:ascii="Arial" w:hAnsi="Arial"/>
          <w:b w:val="1"/>
          <w:sz w:val="18"/>
        </w:rPr>
        <w:t>Republic of Serbia</w:t>
      </w:r>
      <w:r>
        <w:rPr>
          <w:rFonts w:ascii="Arial" w:hAnsi="Arial"/>
          <w:b w:val="1"/>
          <w:sz w:val="18"/>
          <w:vertAlign w:val="superscript"/>
        </w:rPr>
        <w:t>1)</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gridAfter w:val="1"/>
          <w:wAfter w:w="14" w:type="dxa"/>
          <w:trHeight w:hRule="exact" w:val="454"/>
        </w:trPr>
        <w:tc>
          <w:tcPr>
            <w:tcW w:w="4082" w:type="dxa"/>
            <w:tcBorders>
              <w:top w:val="single" w:sz="4" w:space="0" w:shadow="0" w:frame="0"/>
              <w:bottom w:val="single" w:sz="4" w:space="0" w:shadow="0" w:frame="0"/>
              <w:right w:val="single" w:sz="4" w:space="0" w:shadow="0" w:frame="0"/>
            </w:tcBorders>
            <w:vAlign w:val="center"/>
          </w:tcPr>
          <w:p>
            <w:pPr>
              <w:pStyle w:val="P7"/>
              <w:spacing w:lineRule="auto" w:line="233" w:before="200" w:after="200"/>
              <w:rPr>
                <w:sz w:val="18"/>
              </w:rPr>
            </w:pPr>
          </w:p>
        </w:tc>
        <w:tc>
          <w:tcPr>
            <w:tcW w:w="303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120" w:after="120"/>
              <w:jc w:val="center"/>
              <w:rPr>
                <w:rFonts w:ascii="Arial" w:hAnsi="Arial"/>
                <w:sz w:val="18"/>
              </w:rPr>
            </w:pPr>
            <w:r>
              <w:rPr>
                <w:rFonts w:ascii="Arial" w:hAnsi="Arial"/>
                <w:sz w:val="18"/>
              </w:rPr>
              <w:t>I quarter 2013/ I quarter 2012</w:t>
            </w:r>
          </w:p>
        </w:tc>
        <w:tc>
          <w:tcPr>
            <w:tcW w:w="3031" w:type="dxa"/>
            <w:tcBorders>
              <w:top w:val="single" w:sz="4" w:space="0" w:shadow="0" w:frame="0"/>
              <w:left w:val="single" w:sz="4" w:space="0" w:shadow="0" w:frame="0"/>
              <w:bottom w:val="single" w:sz="4" w:space="0" w:shadow="0" w:frame="0"/>
            </w:tcBorders>
            <w:vAlign w:val="center"/>
          </w:tcPr>
          <w:p>
            <w:pPr>
              <w:spacing w:lineRule="auto" w:line="233" w:before="120" w:after="120"/>
              <w:jc w:val="center"/>
              <w:rPr>
                <w:rFonts w:ascii="Arial" w:hAnsi="Arial"/>
                <w:sz w:val="18"/>
              </w:rPr>
            </w:pPr>
            <w:r>
              <w:rPr>
                <w:rFonts w:ascii="Arial" w:hAnsi="Arial"/>
                <w:sz w:val="18"/>
              </w:rPr>
              <w:t>I quarter 2013/ IV quarter 2012</w:t>
            </w:r>
          </w:p>
        </w:tc>
      </w:tr>
      <w:tr>
        <w:trPr>
          <w:wAfter w:w="0" w:type="dxa"/>
          <w:trHeight w:hRule="exact" w:val="340"/>
        </w:trPr>
        <w:tc>
          <w:tcPr>
            <w:tcW w:w="10158" w:type="dxa"/>
            <w:gridSpan w:val="4"/>
            <w:vAlign w:val="center"/>
          </w:tcPr>
          <w:p>
            <w:pPr>
              <w:spacing w:lineRule="auto" w:line="233"/>
              <w:jc w:val="center"/>
              <w:rPr>
                <w:rFonts w:ascii="Arial" w:hAnsi="Arial"/>
                <w:b w:val="1"/>
                <w:sz w:val="16"/>
              </w:rPr>
            </w:pPr>
            <w:r>
              <w:rPr>
                <w:rFonts w:ascii="Arial" w:hAnsi="Arial"/>
                <w:b w:val="1"/>
                <w:sz w:val="16"/>
              </w:rPr>
              <w:t>Operating income</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b w:val="1"/>
                <w:sz w:val="16"/>
              </w:rPr>
            </w:pPr>
            <w:r>
              <w:rPr>
                <w:rFonts w:ascii="Arial" w:hAnsi="Arial"/>
                <w:b w:val="1"/>
                <w:sz w:val="16"/>
              </w:rPr>
              <w:t>TOTAL</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107.3</w:t>
            </w:r>
          </w:p>
        </w:tc>
        <w:tc>
          <w:tcPr>
            <w:tcW w:w="3045" w:type="dxa"/>
            <w:gridSpan w:val="2"/>
            <w:tcBorders>
              <w:lef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83.9</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p>
        </w:tc>
        <w:tc>
          <w:tcPr>
            <w:tcW w:w="3045" w:type="dxa"/>
            <w:gridSpan w:val="2"/>
            <w:tcBorders>
              <w:left w:val="single" w:sz="4" w:space="0" w:shadow="0" w:frame="0"/>
            </w:tcBorders>
            <w:vAlign w:val="bottom"/>
          </w:tcPr>
          <w:p>
            <w:pPr>
              <w:spacing w:lineRule="auto" w:line="233"/>
              <w:ind w:right="1134"/>
              <w:jc w:val="right"/>
              <w:rPr>
                <w:rFonts w:ascii="Arial" w:hAnsi="Arial"/>
                <w:sz w:val="16"/>
              </w:rPr>
            </w:pP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 xml:space="preserve">Agriculture,  forestry and fishing</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104.3</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64.5</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Industry and construction</w:t>
            </w:r>
            <w:r>
              <w:rPr>
                <w:rFonts w:ascii="Arial" w:hAnsi="Arial"/>
                <w:sz w:val="16"/>
                <w:vertAlign w:val="superscript"/>
              </w:rPr>
              <w:t>2)</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107.6</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82.4</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Services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107.1</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86.6</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Trade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107.8</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86.7</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Transportation and storage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101.6</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88.0</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Accommodation and food service activities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121.1</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99.4</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Information and communications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106.4</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90.0</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Other services</w:t>
            </w:r>
            <w:r>
              <w:rPr>
                <w:rFonts w:ascii="Arial" w:hAnsi="Arial"/>
                <w:sz w:val="16"/>
                <w:vertAlign w:val="superscript"/>
              </w:rPr>
              <w:t xml:space="preserve"> 3)</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111.4</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79.7</w:t>
            </w:r>
          </w:p>
        </w:tc>
      </w:tr>
      <w:tr>
        <w:trPr>
          <w:wAfter w:w="0" w:type="dxa"/>
          <w:trHeight w:hRule="exact" w:val="340"/>
        </w:trPr>
        <w:tc>
          <w:tcPr>
            <w:tcW w:w="10158" w:type="dxa"/>
            <w:gridSpan w:val="4"/>
            <w:vAlign w:val="center"/>
          </w:tcPr>
          <w:p>
            <w:pPr>
              <w:spacing w:lineRule="auto" w:line="233"/>
              <w:jc w:val="center"/>
              <w:rPr>
                <w:rFonts w:ascii="Arial" w:hAnsi="Arial"/>
                <w:b w:val="1"/>
                <w:sz w:val="16"/>
              </w:rPr>
            </w:pPr>
            <w:r>
              <w:rPr>
                <w:rFonts w:ascii="Arial" w:hAnsi="Arial"/>
                <w:b w:val="1"/>
                <w:sz w:val="16"/>
              </w:rPr>
              <w:t>Operating costs</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b w:val="1"/>
                <w:sz w:val="16"/>
              </w:rPr>
            </w:pPr>
            <w:r>
              <w:rPr>
                <w:rFonts w:ascii="Arial" w:hAnsi="Arial"/>
                <w:b w:val="1"/>
                <w:sz w:val="16"/>
              </w:rPr>
              <w:t>TOTAL</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104.2</w:t>
            </w:r>
          </w:p>
        </w:tc>
        <w:tc>
          <w:tcPr>
            <w:tcW w:w="3045" w:type="dxa"/>
            <w:gridSpan w:val="2"/>
            <w:tcBorders>
              <w:lef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82.1</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p>
        </w:tc>
        <w:tc>
          <w:tcPr>
            <w:tcW w:w="3045" w:type="dxa"/>
            <w:gridSpan w:val="2"/>
            <w:tcBorders>
              <w:left w:val="single" w:sz="4" w:space="0" w:shadow="0" w:frame="0"/>
            </w:tcBorders>
            <w:vAlign w:val="bottom"/>
          </w:tcPr>
          <w:p>
            <w:pPr>
              <w:spacing w:lineRule="auto" w:line="233"/>
              <w:ind w:right="1134"/>
              <w:jc w:val="right"/>
              <w:rPr>
                <w:rFonts w:ascii="Arial" w:hAnsi="Arial"/>
                <w:sz w:val="16"/>
              </w:rPr>
            </w:pP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 xml:space="preserve">Agriculture,  forestry and fishing</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104.4</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65.9</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Industry and construction</w:t>
            </w:r>
            <w:r>
              <w:rPr>
                <w:rFonts w:ascii="Arial" w:hAnsi="Arial"/>
                <w:sz w:val="16"/>
                <w:vertAlign w:val="superscript"/>
              </w:rPr>
              <w:t>2)</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104.6</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80.6</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Services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103.9</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84.5</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Trade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104.9</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86.4</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Transportation and storage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94.3</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82.0</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Accommodation and food service activities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120.9</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90.5</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Information and communications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108.5</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85.7</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Other services</w:t>
            </w:r>
            <w:r>
              <w:rPr>
                <w:rFonts w:ascii="Arial" w:hAnsi="Arial"/>
                <w:sz w:val="16"/>
                <w:vertAlign w:val="superscript"/>
              </w:rPr>
              <w:t xml:space="preserve"> 3)</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108.6</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73.3</w:t>
            </w:r>
          </w:p>
        </w:tc>
      </w:tr>
    </w:tbl>
    <w:p>
      <w:pPr>
        <w:spacing w:lineRule="auto" w:line="233"/>
        <w:ind w:hanging="142" w:left="142"/>
        <w:rPr>
          <w:rFonts w:ascii="Arial" w:hAnsi="Arial"/>
          <w:sz w:val="18"/>
          <w:vertAlign w:val="superscript"/>
        </w:rPr>
      </w:pPr>
    </w:p>
    <w:p>
      <w:pPr>
        <w:spacing w:lineRule="auto" w:line="233"/>
        <w:ind w:hanging="142" w:left="142"/>
        <w:rPr>
          <w:rFonts w:ascii="Arial" w:hAnsi="Arial"/>
          <w:sz w:val="18"/>
          <w:vertAlign w:val="superscript"/>
        </w:rPr>
      </w:pPr>
    </w:p>
    <w:p>
      <w:pPr>
        <w:spacing w:lineRule="auto" w:line="233"/>
        <w:ind w:hanging="142" w:left="142"/>
        <w:rPr>
          <w:rFonts w:ascii="Arial" w:hAnsi="Arial"/>
          <w:sz w:val="14"/>
          <w:vertAlign w:val="superscript"/>
        </w:rPr>
      </w:pPr>
      <w:r>
        <w:rPr>
          <w:rFonts w:ascii="Arial" w:hAnsi="Arial"/>
          <w:sz w:val="14"/>
          <w:vertAlign w:val="superscript"/>
        </w:rPr>
        <w:t xml:space="preserve">1)   </w:t>
      </w:r>
      <w:r>
        <w:rPr>
          <w:rFonts w:ascii="Arial" w:hAnsi="Arial"/>
          <w:sz w:val="14"/>
        </w:rPr>
        <w:t>Without data for AP Kosovo and Metohia.</w:t>
      </w:r>
    </w:p>
    <w:p>
      <w:pPr>
        <w:spacing w:lineRule="auto" w:line="233"/>
        <w:ind w:hanging="142" w:left="142"/>
        <w:rPr>
          <w:rFonts w:ascii="Arial" w:hAnsi="Arial"/>
          <w:sz w:val="14"/>
        </w:rPr>
      </w:pPr>
      <w:r>
        <w:rPr>
          <w:rFonts w:ascii="Arial" w:hAnsi="Arial"/>
          <w:sz w:val="14"/>
          <w:vertAlign w:val="superscript"/>
        </w:rPr>
        <w:t xml:space="preserve">2)  </w:t>
      </w:r>
      <w:r>
        <w:rPr>
          <w:rFonts w:ascii="Arial" w:hAnsi="Arial"/>
          <w:sz w:val="14"/>
        </w:rPr>
        <w:t xml:space="preserve">Covers: mining and quarrying; manufacturing; electricity, gas, steam and conditioning supply; water supply, sewerage, waste management and remediation activities and construction. </w:t>
      </w:r>
    </w:p>
    <w:p>
      <w:pPr>
        <w:spacing w:lineRule="auto" w:line="233"/>
        <w:ind w:hanging="142" w:left="142"/>
        <w:rPr>
          <w:rFonts w:ascii="Arial" w:hAnsi="Arial"/>
          <w:sz w:val="14"/>
        </w:rPr>
      </w:pPr>
      <w:r>
        <w:rPr>
          <w:rFonts w:ascii="Arial" w:hAnsi="Arial"/>
          <w:sz w:val="16"/>
          <w:vertAlign w:val="superscript"/>
        </w:rPr>
        <w:t>3)</w:t>
      </w:r>
      <w:r>
        <w:rPr>
          <w:rFonts w:ascii="Arial" w:hAnsi="Arial"/>
          <w:sz w:val="14"/>
        </w:rPr>
        <w:t xml:space="preserve"> Covers: real estate activities; professional, scientific and technical activities; administrative and support service activities; education, human health and social work activities</w:t>
      </w:r>
      <w:r>
        <w:rPr>
          <w:rFonts w:ascii="Verdana" w:hAnsi="Verdana"/>
          <w:sz w:val="16"/>
        </w:rPr>
        <w:t>;</w:t>
      </w:r>
      <w:r>
        <w:rPr>
          <w:rFonts w:ascii="Arial" w:hAnsi="Arial"/>
          <w:sz w:val="16"/>
        </w:rPr>
        <w:t xml:space="preserve"> </w:t>
      </w:r>
      <w:r>
        <w:rPr>
          <w:rFonts w:ascii="Arial" w:hAnsi="Arial"/>
          <w:sz w:val="14"/>
        </w:rPr>
        <w:t>arts, entertainment and recreation and other service activities.</w:t>
      </w:r>
    </w:p>
    <w:p>
      <w:pPr>
        <w:pStyle w:val="P11"/>
        <w:spacing w:before="0" w:after="0"/>
        <w:rPr>
          <w:sz w:val="22"/>
        </w:rPr>
      </w:pPr>
    </w:p>
    <w:p>
      <w:pPr>
        <w:pStyle w:val="P11"/>
        <w:spacing w:before="0" w:after="0"/>
        <w:rPr>
          <w:sz w:val="22"/>
        </w:rPr>
      </w:pPr>
    </w:p>
    <w:p>
      <w:pPr>
        <w:pStyle w:val="P11"/>
        <w:spacing w:before="0" w:after="0"/>
        <w:rPr>
          <w:sz w:val="22"/>
        </w:rPr>
      </w:pPr>
    </w:p>
    <w:p>
      <w:pPr>
        <w:pStyle w:val="P11"/>
        <w:spacing w:before="0" w:after="0"/>
        <w:rPr>
          <w:sz w:val="22"/>
        </w:rPr>
      </w:pPr>
    </w:p>
    <w:p>
      <w:pPr>
        <w:pStyle w:val="P11"/>
        <w:spacing w:before="0" w:after="0"/>
        <w:rPr>
          <w:sz w:val="22"/>
        </w:rPr>
      </w:pPr>
    </w:p>
    <w:p>
      <w:pPr>
        <w:pStyle w:val="P11"/>
        <w:spacing w:before="0" w:after="0"/>
        <w:rPr>
          <w:sz w:val="22"/>
        </w:rPr>
      </w:pPr>
      <w:r>
        <w:rPr>
          <w:sz w:val="22"/>
        </w:rPr>
        <w:t>Methodological notes</w:t>
      </w:r>
    </w:p>
    <w:p>
      <w:pPr>
        <w:pStyle w:val="P11"/>
        <w:spacing w:before="0" w:after="0"/>
        <w:rPr>
          <w:sz w:val="22"/>
        </w:rPr>
      </w:pPr>
    </w:p>
    <w:p>
      <w:pPr>
        <w:spacing w:lineRule="auto" w:line="252" w:before="120" w:after="120"/>
        <w:ind w:firstLine="397"/>
        <w:jc w:val="both"/>
        <w:rPr>
          <w:rFonts w:ascii="Arial" w:hAnsi="Arial"/>
          <w:sz w:val="20"/>
        </w:rPr>
      </w:pPr>
      <w:r>
        <w:rPr>
          <w:rFonts w:ascii="Arial" w:hAnsi="Arial"/>
          <w:sz w:val="20"/>
        </w:rPr>
        <w:t xml:space="preserve">This statistical release is the result of the regular statistical survey “Quarterly structural report on business activity of enterprises” – SBS – 03 (results for 2007, 2008, 2009, 2010 and 2011 are published in scope of the edition </w:t>
      </w:r>
      <w:r>
        <w:rPr>
          <w:rFonts w:ascii="Arial" w:hAnsi="Arial"/>
          <w:i w:val="1"/>
          <w:sz w:val="20"/>
        </w:rPr>
        <w:t>Working documents</w:t>
      </w:r>
      <w:r>
        <w:rPr>
          <w:rFonts w:ascii="Arial" w:hAnsi="Arial"/>
          <w:sz w:val="20"/>
        </w:rPr>
        <w:t xml:space="preserve"> no. 64, 68, 71,76 and 79). </w:t>
      </w:r>
    </w:p>
    <w:p>
      <w:pPr>
        <w:spacing w:lineRule="auto" w:line="252" w:before="120" w:after="120"/>
        <w:ind w:firstLine="397"/>
        <w:jc w:val="both"/>
        <w:rPr>
          <w:rFonts w:ascii="Arial" w:hAnsi="Arial"/>
          <w:sz w:val="20"/>
        </w:rPr>
      </w:pPr>
      <w:r>
        <w:rPr>
          <w:rFonts w:ascii="Arial" w:hAnsi="Arial"/>
          <w:sz w:val="20"/>
        </w:rPr>
        <w:t>The survey is conducted on the sample of selected enterprises and other legal entities that manufacture and provide services, mainly for market purposes, i.e. the entities that are, by the way of functioning, classified in non-financial business economy. According to CA, non-financial business economy does not include the following sections: К (Financial and insurance activities) and О (Public administration and Defense; Compulsory social security). The frame for sample selection was based on the set of enterprises from the Statistical Business Register (SBR). Stratified random sample of 2860 enterprises was selected, out of which 2473 enterprises (86%) was included in realized sample. Related to index first quarter 2013 to the first quarter 2012, the standard error estimate</w:t>
      </w:r>
      <w:r>
        <w:rPr>
          <w:rFonts w:ascii="Arial" w:hAnsi="Arial"/>
          <w:sz w:val="20"/>
          <w:vertAlign w:val="superscript"/>
        </w:rPr>
        <w:t>3)</w:t>
      </w:r>
      <w:r>
        <w:rPr>
          <w:rFonts w:ascii="Arial" w:hAnsi="Arial"/>
          <w:sz w:val="20"/>
        </w:rPr>
        <w:t xml:space="preserve"> of operating income and operating cost is the same and equals 3.2. Regarding index first quarter 2013 to the fourth quarter 2012, the standard error estimate of operating income equals 2.4 and referring to operating costs, it equals 2.0.</w:t>
      </w:r>
    </w:p>
    <w:p>
      <w:pPr>
        <w:spacing w:lineRule="auto" w:line="252" w:before="120" w:after="120"/>
        <w:ind w:firstLine="397"/>
        <w:jc w:val="both"/>
        <w:rPr>
          <w:rFonts w:ascii="Arial" w:hAnsi="Arial"/>
          <w:sz w:val="20"/>
        </w:rPr>
      </w:pPr>
      <w:r>
        <w:rPr>
          <w:rFonts w:ascii="Arial" w:hAnsi="Arial"/>
          <w:sz w:val="20"/>
        </w:rPr>
        <w:t xml:space="preserve">Unincorporated enterprises are excluded. </w:t>
      </w:r>
    </w:p>
    <w:p>
      <w:pPr>
        <w:spacing w:lineRule="auto" w:line="252" w:before="120" w:after="120"/>
        <w:ind w:firstLine="397"/>
        <w:jc w:val="both"/>
        <w:rPr>
          <w:rFonts w:ascii="Arial" w:hAnsi="Arial"/>
          <w:sz w:val="20"/>
        </w:rPr>
      </w:pPr>
      <w:r>
        <w:rPr>
          <w:rFonts w:ascii="Arial" w:hAnsi="Arial"/>
          <w:sz w:val="20"/>
        </w:rPr>
        <w:t xml:space="preserve">The enterprises are classified </w:t>
      </w:r>
      <w:r>
        <w:rPr>
          <w:rFonts w:ascii="Arial" w:hAnsi="Arial"/>
          <w:i w:val="1"/>
          <w:sz w:val="20"/>
        </w:rPr>
        <w:t>by the main activity</w:t>
      </w:r>
      <w:r>
        <w:rPr>
          <w:rFonts w:ascii="Arial" w:hAnsi="Arial"/>
          <w:sz w:val="20"/>
        </w:rPr>
        <w:t xml:space="preserve"> (for the reporting unit as a whole).</w:t>
      </w:r>
    </w:p>
    <w:p>
      <w:pPr>
        <w:spacing w:lineRule="auto" w:line="252" w:before="120" w:after="120"/>
        <w:ind w:firstLine="397"/>
        <w:jc w:val="both"/>
        <w:rPr>
          <w:rFonts w:ascii="Arial" w:hAnsi="Arial"/>
          <w:sz w:val="20"/>
        </w:rPr>
      </w:pPr>
      <w:r>
        <w:rPr>
          <w:rFonts w:ascii="Arial" w:hAnsi="Arial"/>
          <w:sz w:val="20"/>
        </w:rPr>
        <w:t xml:space="preserve">The principal data sources for completing the reports are </w:t>
      </w:r>
      <w:r>
        <w:rPr>
          <w:rFonts w:ascii="Arial" w:hAnsi="Arial"/>
          <w:i w:val="1"/>
          <w:sz w:val="20"/>
        </w:rPr>
        <w:t>bookkeeping records</w:t>
      </w:r>
      <w:r>
        <w:rPr>
          <w:rFonts w:ascii="Arial" w:hAnsi="Arial"/>
          <w:sz w:val="20"/>
        </w:rPr>
        <w:t xml:space="preserve"> of enterprises (financial and cost accounting) and other records (tax, staff) and accounts.  </w:t>
      </w:r>
    </w:p>
    <w:p>
      <w:pPr>
        <w:spacing w:lineRule="auto" w:line="252" w:before="120" w:after="120"/>
        <w:ind w:firstLine="397"/>
        <w:jc w:val="both"/>
        <w:rPr>
          <w:rFonts w:ascii="Arial" w:hAnsi="Arial"/>
          <w:sz w:val="20"/>
        </w:rPr>
      </w:pPr>
      <w:r>
        <w:rPr>
          <w:rFonts w:ascii="Arial" w:hAnsi="Arial"/>
          <w:sz w:val="20"/>
        </w:rPr>
        <w:t xml:space="preserve">The data are expressed at current prices. </w:t>
      </w:r>
    </w:p>
    <w:p>
      <w:pPr>
        <w:spacing w:lineRule="auto" w:line="252" w:before="120" w:after="120"/>
        <w:ind w:firstLine="397"/>
        <w:jc w:val="both"/>
        <w:rPr>
          <w:rFonts w:ascii="Arial" w:hAnsi="Arial"/>
          <w:sz w:val="20"/>
        </w:rPr>
      </w:pPr>
      <w:r>
        <w:rPr>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lineRule="auto" w:line="252" w:before="120" w:after="120"/>
        <w:ind w:firstLine="397"/>
        <w:jc w:val="both"/>
        <w:rPr>
          <w:rFonts w:ascii="Arial" w:hAnsi="Arial"/>
          <w:sz w:val="20"/>
        </w:rPr>
      </w:pPr>
      <w:r>
        <w:rPr>
          <w:rFonts w:ascii="Arial" w:hAnsi="Arial"/>
          <w:sz w:val="20"/>
        </w:rPr>
        <w:t xml:space="preserve">Methodological notes of the Quarterly structural report on business activity of enterprises are available on the website of the Statistical Office of the Republic of Serbia </w:t>
      </w:r>
    </w:p>
    <w:p>
      <w:pPr>
        <w:spacing w:lineRule="auto" w:line="252" w:before="120" w:after="120"/>
        <w:ind w:firstLine="397"/>
        <w:jc w:val="both"/>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HYPERLINK "http://webrzs.stat.gov.rs/WebSite/Public/PageView.aspx?pKey=171" </w:instrText>
      </w:r>
      <w:r>
        <w:rPr>
          <w:rFonts w:ascii="Arial" w:hAnsi="Arial"/>
          <w:sz w:val="20"/>
        </w:rPr>
        <w:fldChar w:fldCharType="separate"/>
      </w:r>
      <w:r>
        <w:rPr>
          <w:rStyle w:val="C2"/>
          <w:rFonts w:ascii="Arial" w:hAnsi="Arial"/>
          <w:sz w:val="20"/>
        </w:rPr>
        <w:t>http://webrzs.stat.gov.rs/WebSite/Public/PageView.aspx?pKey=171</w:t>
      </w:r>
      <w:r>
        <w:rPr>
          <w:rStyle w:val="C2"/>
          <w:rFonts w:ascii="Arial" w:hAnsi="Arial"/>
          <w:sz w:val="20"/>
        </w:rPr>
        <w:fldChar w:fldCharType="end"/>
      </w:r>
      <w:r>
        <w:rPr>
          <w:rFonts w:ascii="Arial" w:hAnsi="Arial"/>
          <w:sz w:val="20"/>
        </w:rPr>
        <w:t>.</w:t>
      </w:r>
    </w:p>
    <w:p>
      <w:pPr>
        <w:spacing w:lineRule="auto" w:line="252" w:before="120" w:after="120"/>
        <w:ind w:firstLine="397"/>
        <w:jc w:val="both"/>
        <w:rPr>
          <w:rFonts w:ascii="Arial" w:hAnsi="Arial"/>
          <w:sz w:val="20"/>
        </w:rPr>
      </w:pPr>
      <w:r>
        <w:rPr>
          <w:rFonts w:ascii="Arial" w:hAnsi="Arial"/>
          <w:sz w:val="20"/>
        </w:rPr>
        <w:t xml:space="preserve">Series of quarterly indices (chain and base) at current prices are obtainable on the website of the Statistical Office of the Republic of Serbia in the database  </w:t>
      </w:r>
    </w:p>
    <w:p>
      <w:pPr>
        <w:spacing w:lineRule="auto" w:line="252" w:before="120" w:after="120"/>
        <w:ind w:firstLine="397"/>
        <w:jc w:val="both"/>
        <w:rPr>
          <w:rFonts w:ascii="Arial" w:hAnsi="Arial"/>
          <w:sz w:val="20"/>
        </w:rPr>
      </w:pPr>
      <w:r>
        <w:rPr>
          <w:rFonts w:ascii="Arial" w:hAnsi="Arial"/>
          <w:sz w:val="20"/>
        </w:rPr>
        <w:fldChar w:fldCharType="begin"/>
      </w:r>
      <w:r>
        <w:rPr>
          <w:rFonts w:ascii="Arial" w:hAnsi="Arial"/>
          <w:sz w:val="20"/>
        </w:rPr>
        <w:instrText xml:space="preserve"> HYPERLINK "http://webrzs.stat.gov.rs/WebSite/public/ReportView.aspx" </w:instrText>
      </w:r>
      <w:r>
        <w:rPr>
          <w:rFonts w:ascii="Arial" w:hAnsi="Arial"/>
          <w:sz w:val="20"/>
        </w:rPr>
        <w:fldChar w:fldCharType="separate"/>
      </w:r>
      <w:r>
        <w:rPr>
          <w:rStyle w:val="C2"/>
          <w:rFonts w:ascii="Arial" w:hAnsi="Arial"/>
          <w:sz w:val="20"/>
        </w:rPr>
        <w:t>http://webrzs.stat.gov.rs/WebSite/public/ReportView.aspx</w:t>
      </w:r>
      <w:r>
        <w:rPr>
          <w:rStyle w:val="C2"/>
          <w:rFonts w:ascii="Arial" w:hAnsi="Arial"/>
          <w:sz w:val="20"/>
        </w:rPr>
        <w:fldChar w:fldCharType="end"/>
      </w:r>
      <w:r>
        <w:rPr>
          <w:rFonts w:ascii="Arial" w:hAnsi="Arial"/>
          <w:sz w:val="20"/>
        </w:rPr>
        <w:t>.</w:t>
      </w:r>
    </w:p>
    <w:p>
      <w:pPr>
        <w:spacing w:before="120" w:after="120"/>
        <w:jc w:val="both"/>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2"/>
        </w:rPr>
      </w:pPr>
    </w:p>
    <w:p>
      <w:pPr>
        <w:tabs>
          <w:tab w:val="left" w:pos="7800" w:leader="none"/>
        </w:tabs>
        <w:rPr>
          <w:rFonts w:ascii="Arial" w:hAnsi="Arial"/>
          <w:sz w:val="6"/>
        </w:rPr>
      </w:pPr>
      <w:r>
        <w:rPr>
          <w:rFonts w:ascii="Arial" w:hAnsi="Arial"/>
          <w:sz w:val="14"/>
          <w:vertAlign w:val="superscript"/>
        </w:rPr>
        <w:t xml:space="preserve">3) </w:t>
      </w:r>
      <w:r>
        <w:rPr>
          <w:rFonts w:ascii="Arial" w:hAnsi="Arial"/>
          <w:sz w:val="14"/>
        </w:rPr>
        <w:t xml:space="preserve">Standard error is a measure of deviation. It is equal to the square root of the variance of an estimate. </w:t>
      </w: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w:hAnsi="Arial"/>
                <w:sz w:val="2"/>
              </w:rPr>
            </w:pPr>
          </w:p>
        </w:tc>
      </w:tr>
    </w:tbl>
    <w:p>
      <w:pPr>
        <w:rPr>
          <w:rFonts w:ascii="Arial" w:hAnsi="Arial"/>
          <w:sz w:val="10"/>
        </w:rPr>
      </w:pPr>
    </w:p>
    <w:p>
      <w:pPr>
        <w:jc w:val="center"/>
        <w:rPr>
          <w:rFonts w:ascii="Arial" w:hAnsi="Arial"/>
          <w:sz w:val="18"/>
        </w:rPr>
      </w:pPr>
      <w:r>
        <w:rPr>
          <w:rFonts w:ascii="Arial" w:hAnsi="Arial"/>
          <w:sz w:val="18"/>
        </w:rPr>
        <w:t xml:space="preserve">Contact:  </w:t>
      </w:r>
      <w:r>
        <w:rPr>
          <w:rFonts w:ascii="Arial" w:hAnsi="Arial"/>
          <w:sz w:val="18"/>
        </w:rPr>
        <w:fldChar w:fldCharType="begin"/>
      </w:r>
      <w:r>
        <w:rPr>
          <w:rFonts w:ascii="Arial" w:hAnsi="Arial"/>
          <w:sz w:val="18"/>
        </w:rPr>
        <w:instrText xml:space="preserve"> HYPERLINK "mailto:gordana.zamaklar@stat.gov.rs" </w:instrText>
      </w:r>
      <w:r>
        <w:rPr>
          <w:rFonts w:ascii="Arial" w:hAnsi="Arial"/>
          <w:sz w:val="18"/>
        </w:rPr>
        <w:fldChar w:fldCharType="separate"/>
      </w:r>
      <w:r>
        <w:rPr>
          <w:rStyle w:val="C2"/>
          <w:rFonts w:ascii="Arial" w:hAnsi="Arial"/>
          <w:sz w:val="18"/>
          <w:u w:val="none"/>
        </w:rPr>
        <w:t>gordana.zamaklar@stat.gov.rs</w:t>
      </w:r>
      <w:r>
        <w:rPr>
          <w:rStyle w:val="C2"/>
          <w:rFonts w:ascii="Arial" w:hAnsi="Arial"/>
          <w:sz w:val="18"/>
          <w:u w:val="none"/>
        </w:rPr>
        <w:fldChar w:fldCharType="end"/>
      </w:r>
      <w:r>
        <w:rPr>
          <w:rFonts w:ascii="Arial" w:hAnsi="Arial"/>
          <w:sz w:val="18"/>
        </w:rPr>
        <w:t xml:space="preserve">   phone: 011 2412-922  ext 352</w:t>
      </w:r>
    </w:p>
    <w:p>
      <w:pPr>
        <w:jc w:val="center"/>
        <w:rPr>
          <w:rFonts w:ascii="Arial" w:hAnsi="Arial"/>
          <w:sz w:val="18"/>
        </w:rPr>
      </w:pPr>
      <w:r>
        <w:rPr>
          <w:rFonts w:ascii="Arial" w:hAnsi="Arial"/>
          <w:sz w:val="18"/>
        </w:rPr>
        <w:t xml:space="preserve">Published and printed by: Statistical Office of the Republic of Serbia, Belgrade, Milana Rakica 5, </w:t>
      </w:r>
    </w:p>
    <w:p>
      <w:pPr>
        <w:jc w:val="center"/>
        <w:rPr>
          <w:rFonts w:ascii="Arial" w:hAnsi="Arial"/>
          <w:sz w:val="18"/>
        </w:rPr>
      </w:pPr>
      <w:r>
        <w:rPr>
          <w:rFonts w:ascii="Arial" w:hAnsi="Arial"/>
          <w:sz w:val="18"/>
        </w:rPr>
        <w:t xml:space="preserve">Phone: +381 11 2412922 ● Fax: +381 11 2411260 ● www.stat.gov.rs  </w:t>
      </w:r>
    </w:p>
    <w:p>
      <w:pPr>
        <w:jc w:val="center"/>
      </w:pPr>
      <w:r>
        <w:rPr>
          <w:rFonts w:ascii="Arial" w:hAnsi="Arial"/>
          <w:sz w:val="18"/>
        </w:rPr>
        <w:t>Responsible: Dragan Vukmirovic, PhD, Director</w:t>
        <w:br w:type="textWrapping"/>
        <w:t>Circulation: 20 ● Issued quarterly</w:t>
      </w:r>
    </w:p>
    <w:sectPr>
      <w:footerReference xmlns:r="http://schemas.openxmlformats.org/officeDocument/2006/relationships" w:type="default" r:id="RelFtr1"/>
      <w:footerReference xmlns:r="http://schemas.openxmlformats.org/officeDocument/2006/relationships" w:type="even" r:id="RelFtr2"/>
      <w:type w:val="nextPage"/>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3"/>
      <w:pBdr>
        <w:top w:val="single" w:sz="4" w:space="0" w:shadow="0" w:frame="0"/>
      </w:pBdr>
      <w:ind w:firstLine="360" w:right="360"/>
      <w:rPr>
        <w:rFonts w:ascii="Arial" w:hAnsi="Arial"/>
        <w:sz w:val="16"/>
      </w:rPr>
    </w:pPr>
    <w:r>
      <w:rPr>
        <w:rFonts w:ascii="Arial" w:hAnsi="Arial"/>
        <w:sz w:val="16"/>
      </w:rPr>
      <w:t>SERB??? PS10 150711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3"/>
      <w:pBdr>
        <w:top w:val="single" w:sz="4" w:space="0" w:shadow="0" w:frame="0"/>
      </w:pBdr>
      <w:jc w:val="right"/>
      <w:rPr>
        <w:rFonts w:ascii="Arial" w:hAnsi="Arial"/>
        <w:sz w:val="16"/>
      </w:rPr>
    </w:pPr>
    <w:r>
      <w:rPr>
        <w:rFonts w:ascii="Arial" w:hAnsi="Arial"/>
        <w:sz w:val="16"/>
      </w:rPr>
      <w:t>SERB202 PS10 150713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6"/>
    <w:basedOn w:val="P0"/>
    <w:next w:val="P0"/>
    <w:pPr>
      <w:keepNext w:val="1"/>
      <w:jc w:val="center"/>
      <w:outlineLvl w:val="5"/>
    </w:pPr>
    <w:rPr>
      <w:rFonts w:ascii="Arial" w:hAnsi="Arial"/>
      <w:b w:val="1"/>
    </w:rPr>
  </w:style>
  <w:style w:type="paragraph" w:styleId="P4">
    <w:name w:val="Head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Naslov tabela"/>
    <w:basedOn w:val="P0"/>
    <w:next w:val="P6"/>
    <w:pPr>
      <w:tabs>
        <w:tab w:val="left" w:pos="284" w:leader="none"/>
        <w:tab w:val="clear" w:pos="360" w:leader="none"/>
      </w:tabs>
      <w:spacing w:before="120" w:after="120"/>
      <w:ind w:hanging="284" w:left="284"/>
      <w:jc w:val="center"/>
    </w:pPr>
    <w:rPr>
      <w:rFonts w:ascii="Arial" w:hAnsi="Arial"/>
      <w:b w:val="1"/>
      <w:sz w:val="20"/>
    </w:rPr>
  </w:style>
  <w:style w:type="paragraph" w:styleId="P7">
    <w:name w:val="Tabela-Zaglavlje"/>
    <w:basedOn w:val="P0"/>
    <w:next w:val="P7"/>
    <w:pPr>
      <w:jc w:val="center"/>
    </w:pPr>
    <w:rPr>
      <w:rFonts w:ascii="Arial" w:hAnsi="Arial"/>
      <w:sz w:val="16"/>
    </w:rPr>
  </w:style>
  <w:style w:type="paragraph" w:styleId="P8">
    <w:name w:val="Tabela-Brojevi"/>
    <w:basedOn w:val="P0"/>
    <w:next w:val="P8"/>
    <w:pPr>
      <w:jc w:val="right"/>
    </w:pPr>
    <w:rPr>
      <w:rFonts w:ascii="Arial" w:hAnsi="Arial"/>
      <w:sz w:val="16"/>
    </w:rPr>
  </w:style>
  <w:style w:type="paragraph" w:styleId="P9">
    <w:name w:val="Tabela-BrojeviB"/>
    <w:basedOn w:val="P0"/>
    <w:next w:val="P9"/>
    <w:pPr>
      <w:jc w:val="right"/>
    </w:pPr>
    <w:rPr>
      <w:rFonts w:ascii="Arial" w:hAnsi="Arial"/>
      <w:b w:val="1"/>
      <w:sz w:val="16"/>
    </w:rPr>
  </w:style>
  <w:style w:type="paragraph" w:styleId="P10">
    <w:name w:val="Body Text Indent 2"/>
    <w:basedOn w:val="P0"/>
    <w:next w:val="P10"/>
    <w:pPr>
      <w:ind w:firstLine="360" w:left="360"/>
      <w:jc w:val="both"/>
    </w:pPr>
    <w:rPr>
      <w:rFonts w:ascii="Arial" w:hAnsi="Arial"/>
      <w:sz w:val="22"/>
    </w:rPr>
  </w:style>
  <w:style w:type="paragraph" w:styleId="P11">
    <w:name w:val="Naslov Metodologija i Napomena"/>
    <w:basedOn w:val="P0"/>
    <w:next w:val="P11"/>
    <w:pPr>
      <w:spacing w:before="120" w:after="240"/>
      <w:jc w:val="center"/>
    </w:pPr>
    <w:rPr>
      <w:rFonts w:ascii="Arial" w:hAnsi="Arial"/>
      <w:b w:val="1"/>
      <w:sz w:val="20"/>
    </w:rPr>
  </w:style>
  <w:style w:type="paragraph" w:styleId="P12">
    <w:name w:val=" Char Char Char Char Char1 Char"/>
    <w:basedOn w:val="P0"/>
    <w:next w:val="P12"/>
    <w:pPr>
      <w:tabs>
        <w:tab w:val="left" w:pos="567" w:leader="none"/>
      </w:tabs>
      <w:spacing w:lineRule="exact" w:line="240" w:before="120" w:after="160"/>
      <w:ind w:hanging="504" w:left="1584"/>
    </w:pPr>
    <w:rPr>
      <w:rFonts w:ascii="Arial" w:hAnsi="Arial"/>
      <w:b w:val="1"/>
      <w:color w:val="000000"/>
    </w:rPr>
  </w:style>
  <w:style w:type="paragraph" w:styleId="P13">
    <w:name w:val="Footer"/>
    <w:basedOn w:val="P0"/>
    <w:next w:val="P13"/>
    <w:pPr>
      <w:tabs>
        <w:tab w:val="center" w:pos="4320" w:leader="none"/>
        <w:tab w:val="right" w:pos="8640" w:leader="none"/>
      </w:tabs>
    </w:pPr>
    <w:rPr/>
  </w:style>
  <w:style w:type="paragraph" w:styleId="P14">
    <w:name w:val="Title"/>
    <w:basedOn w:val="P0"/>
    <w:next w:val="P14"/>
    <w:pPr>
      <w:spacing w:before="240" w:after="60"/>
      <w:jc w:val="center"/>
      <w:outlineLvl w:val="0"/>
    </w:pPr>
    <w:rPr>
      <w:rFonts w:ascii="Arial" w:hAnsi="Arial"/>
      <w:b w:val="1"/>
      <w:sz w:val="32"/>
    </w:rPr>
  </w:style>
  <w:style w:type="paragraph" w:styleId="P15">
    <w:name w:val="Caption"/>
    <w:basedOn w:val="P0"/>
    <w:next w:val="P0"/>
    <w:pPr/>
    <w:rPr>
      <w:b w:val="1"/>
      <w:sz w:val="20"/>
    </w:rPr>
  </w:style>
  <w:style w:type="paragraph" w:styleId="P16">
    <w:name w:val="Balloon Text"/>
    <w:basedOn w:val="P0"/>
    <w:next w:val="P16"/>
    <w:pPr/>
    <w:rPr>
      <w:rFonts w:ascii="Tahoma" w:hAnsi="Tahoma"/>
      <w:sz w:val="16"/>
    </w:rPr>
  </w:style>
  <w:style w:type="paragraph" w:styleId="P17">
    <w:name w:val="Comment Text"/>
    <w:basedOn w:val="P0"/>
    <w:next w:val="P17"/>
    <w:pPr/>
    <w:rPr>
      <w:sz w:val="20"/>
    </w:rPr>
  </w:style>
  <w:style w:type="paragraph" w:styleId="P18">
    <w:name w:val="Body Text"/>
    <w:basedOn w:val="P0"/>
    <w:next w:val="P18"/>
    <w:pPr>
      <w:tabs>
        <w:tab w:val="left" w:pos="142" w:leader="none"/>
      </w:tabs>
      <w:jc w:val="both"/>
    </w:pPr>
    <w:rPr>
      <w:rFonts w:ascii="Arial" w:hAnsi="Arial"/>
      <w:sz w:val="22"/>
    </w:rPr>
  </w:style>
  <w:style w:type="paragraph" w:styleId="P19">
    <w:name w:val="Naslov saopstenja"/>
    <w:basedOn w:val="P14"/>
    <w:next w:val="P15"/>
    <w:pPr>
      <w:spacing w:after="0"/>
    </w:pPr>
    <w:rPr>
      <w:sz w:val="24"/>
    </w:rPr>
  </w:style>
  <w:style w:type="paragraph" w:styleId="P20">
    <w:name w:val="Comment Subject"/>
    <w:basedOn w:val="P17"/>
    <w:next w:val="P17"/>
    <w:pPr/>
    <w:rPr>
      <w:b w:val="1"/>
    </w:rPr>
  </w:style>
  <w:style w:type="paragraph" w:styleId="P21">
    <w:name w:val="Body Text First Indent"/>
    <w:basedOn w:val="P18"/>
    <w:next w:val="P21"/>
    <w:pPr>
      <w:numPr>
        <w:numId w:val="1"/>
      </w:numPr>
      <w:tabs>
        <w:tab w:val="clear" w:pos="142" w:leader="none"/>
        <w:tab w:val="clear" w:pos="360" w:leader="none"/>
      </w:tabs>
      <w:spacing w:after="120"/>
      <w:ind w:firstLine="210" w:left="0"/>
      <w:jc w:val="left"/>
    </w:pPr>
    <w:rPr>
      <w:sz w:val="20"/>
    </w:rPr>
  </w:style>
  <w:style w:type="paragraph" w:styleId="P22">
    <w:name w:val="Tekst Metodologija i Napomena"/>
    <w:basedOn w:val="P21"/>
    <w:next w:val="P18"/>
    <w:pPr>
      <w:spacing w:before="120" w:after="0"/>
      <w:ind w:firstLine="397"/>
      <w:jc w:val="both"/>
    </w:pPr>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Strong"/>
    <w:basedOn w:val="C0"/>
    <w:rPr>
      <w:b w:val="1"/>
    </w:rPr>
  </w:style>
  <w:style w:type="character" w:styleId="C4">
    <w:name w:val="Page Number"/>
    <w:basedOn w:val="C0"/>
    <w:rPr/>
  </w:style>
  <w:style w:type="character" w:styleId="C5">
    <w:name w:val="Comment Reference"/>
    <w:basedOn w:val="C0"/>
    <w:rPr>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dcterms:created xsi:type="dcterms:W3CDTF">2013-07-12T07:54:00Z</dcterms:created>
  <cp:lastModifiedBy>Nikola Kapetanovic</cp:lastModifiedBy>
  <cp:lastPrinted>2012-10-09T06:36:00Z</cp:lastPrinted>
  <dcterms:modified xsi:type="dcterms:W3CDTF">2020-01-10T11:42:36Z</dcterms:modified>
  <cp:revision>3</cp:revision>
  <dc:title> </dc:title>
</cp:coreProperties>
</file>