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7EF76CC" Type="http://schemas.openxmlformats.org/officeDocument/2006/relationships/officeDocument" Target="/word/document.xml" /><Relationship Id="coreR77EF76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b w:val="1"/>
                <w:color w:val="808080"/>
                <w:sz w:val="48"/>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SK11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200 • Year LXIII, 15.07.2013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Judiciary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SRB200 SK11 150713</w:t>
            </w:r>
          </w:p>
        </w:tc>
      </w:tr>
    </w:tbl>
    <w:p/>
    <w:p>
      <w:pPr>
        <w:spacing w:before="480" w:after="240"/>
        <w:jc w:val="center"/>
        <w:rPr>
          <w:b w:val="1"/>
          <w:sz w:val="24"/>
        </w:rPr>
      </w:pPr>
      <w:r>
        <w:rPr>
          <w:b w:val="1"/>
          <w:sz w:val="24"/>
        </w:rPr>
        <w:t>Juvenile perpetrators of criminal offences in the Republic of Serbia</w:t>
      </w:r>
      <w:r>
        <w:rPr>
          <w:b w:val="1"/>
          <w:sz w:val="24"/>
        </w:rPr>
        <w:t>, 201</w:t>
      </w:r>
      <w:r>
        <w:rPr>
          <w:b w:val="1"/>
          <w:sz w:val="24"/>
        </w:rPr>
        <w:t>2</w:t>
      </w:r>
    </w:p>
    <w:p>
      <w:pPr>
        <w:pStyle w:val="P47"/>
        <w:rPr>
          <w:sz w:val="18"/>
        </w:rPr>
      </w:pPr>
      <w:r>
        <w:rPr>
          <w:sz w:val="18"/>
        </w:rPr>
        <w:t xml:space="preserve">In this statistical release, the Statistical Office of the Republic of Serbia publishes the basic data on criminal offences of juvenile perpetrators in 2012: reported, charged and convicted minors by sorts of criminal offences, sex, age and criminal sanctions. Data are collected in regular statistical surveys based on individual questionnaires completed by the competent Senior Public Prosecutor’s Offices and Courts. Aiming at complete coverage of the phenomena, presented are the main indicators for the period 2008-2012.    </w:t>
      </w:r>
    </w:p>
    <w:p>
      <w:pPr>
        <w:pStyle w:val="P47"/>
        <w:rPr>
          <w:sz w:val="18"/>
        </w:rPr>
      </w:pPr>
      <w:r>
        <w:rPr>
          <w:sz w:val="18"/>
        </w:rPr>
        <w:t xml:space="preserve">Observation unit is the juvenile perpetrator of criminal offence (minor), who committed the criminal offence as: perpetrator, co-perpetrator, agitator or assistant.  </w:t>
      </w:r>
    </w:p>
    <w:p>
      <w:pPr>
        <w:pStyle w:val="P47"/>
        <w:rPr>
          <w:sz w:val="18"/>
        </w:rPr>
      </w:pPr>
      <w:r>
        <w:rPr>
          <w:sz w:val="18"/>
        </w:rPr>
        <w:t xml:space="preserve">Juvenile perpetrators of criminal offences are the persons who at the moment of criminal offence committal were 14 and not yet 18 years old.   </w:t>
      </w:r>
    </w:p>
    <w:p>
      <w:pPr>
        <w:spacing w:before="120"/>
        <w:ind w:firstLine="397"/>
        <w:jc w:val="both"/>
        <w:rPr>
          <w:sz w:val="18"/>
        </w:rPr>
      </w:pPr>
      <w:r>
        <w:rPr>
          <w:sz w:val="18"/>
        </w:rPr>
        <w:t xml:space="preserve">A “reported juvenile person” is taken to be a juvenile against whom criminal proceedings on the grounds of a crime report have not been initiated (crime report rejected), against whom preparatory proceedings are suspended or the charge motion has been submitted to a juvenile court for pronouncing sentence or measure. </w:t>
      </w:r>
    </w:p>
    <w:p>
      <w:pPr>
        <w:spacing w:before="120"/>
        <w:ind w:firstLine="397"/>
        <w:jc w:val="both"/>
        <w:rPr>
          <w:b w:val="1"/>
          <w:sz w:val="18"/>
        </w:rPr>
      </w:pPr>
      <w:r>
        <w:rPr>
          <w:sz w:val="18"/>
        </w:rPr>
        <w:t xml:space="preserve">An “accused juvenile person” is considered to be a juvenile against whom a charge motion has been submitted to a juvenile court for pronouncing sentence, i.e. educational measure, so the proceedings were terminated by a finally binding judgment by which: proceeding was suspended, security measures without imposing criminal law sanctions were pronounced or juvenile imprisonment or educational measure were pronounced.  </w:t>
      </w:r>
      <w:r>
        <w:rPr>
          <w:b w:val="1"/>
          <w:sz w:val="18"/>
        </w:rPr>
        <w:t xml:space="preserve"> </w:t>
      </w:r>
    </w:p>
    <w:p>
      <w:pPr>
        <w:spacing w:before="120"/>
        <w:ind w:firstLine="397"/>
        <w:jc w:val="both"/>
        <w:rPr>
          <w:b w:val="1"/>
          <w:sz w:val="18"/>
        </w:rPr>
      </w:pPr>
      <w:r>
        <w:rPr>
          <w:sz w:val="18"/>
        </w:rPr>
        <w:t>A “convicted juvenile person” is a juvenile perpetrator of criminal offence against whom a criminal law sanction – juvenile imprisonment or educational measure has been passed.</w:t>
      </w:r>
      <w:r>
        <w:rPr>
          <w:b w:val="1"/>
          <w:sz w:val="18"/>
        </w:rPr>
        <w:t xml:space="preserve"> </w:t>
      </w:r>
    </w:p>
    <w:p>
      <w:pPr>
        <w:spacing w:before="120"/>
        <w:ind w:firstLine="397"/>
        <w:jc w:val="both"/>
        <w:rPr>
          <w:sz w:val="18"/>
        </w:rPr>
      </w:pPr>
      <w:r>
        <w:rPr>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before="120"/>
        <w:ind w:firstLine="397"/>
        <w:jc w:val="both"/>
        <w:rPr>
          <w:b w:val="1"/>
          <w:sz w:val="18"/>
        </w:rPr>
      </w:pPr>
      <w:r>
        <w:rPr>
          <w:sz w:val="18"/>
        </w:rPr>
        <w:t xml:space="preserve">In 2012, against juvenile perpetrators of criminal offences, the following educational measures were pronounced: public prosecutor for juveniles pronounced educational measures in 106 cases and in 20 cases it was the juvenile court judge (article 7 of the Law on juvenile perpetrators of criminal offences and criminal-legal protection of minors).    </w:t>
      </w:r>
      <w:r>
        <w:rPr>
          <w:b w:val="1"/>
          <w:sz w:val="18"/>
        </w:rPr>
        <w:t xml:space="preserve">  </w:t>
      </w:r>
    </w:p>
    <w:p>
      <w:pPr>
        <w:pStyle w:val="P16"/>
      </w:pPr>
    </w:p>
    <w:p>
      <w:pPr>
        <w:pStyle w:val="P16"/>
      </w:pPr>
    </w:p>
    <w:p>
      <w:pPr>
        <w:jc w:val="center"/>
        <w:rPr>
          <w:b w:val="1"/>
        </w:rPr>
      </w:pPr>
      <w:r>
        <w:rPr>
          <w:b w:val="1"/>
        </w:rPr>
        <w:t>1. Juvenile perpetrators of criminal offences, 2008</w:t>
      </w:r>
      <w:r>
        <w:rPr>
          <w:b w:val="1"/>
        </w:rPr>
        <w:t>–</w:t>
      </w:r>
      <w:r>
        <w:rPr>
          <w:b w:val="1"/>
        </w:rPr>
        <w:t>2012</w:t>
      </w:r>
    </w:p>
    <w:p>
      <w:pPr>
        <w:pStyle w:val="P19"/>
        <w:spacing w:lineRule="auto" w:line="240" w:after="60"/>
        <w:ind w:left="0"/>
        <w:rPr>
          <w:b w:val="1"/>
          <w:sz w:val="18"/>
        </w:rPr>
      </w:pPr>
      <w:r>
        <w:rPr>
          <w:b w:val="1"/>
          <w:sz w:val="18"/>
        </w:rPr>
        <w:t>Republic of Serbia</w:t>
      </w:r>
    </w:p>
    <w:tbl>
      <w:tblPr>
        <w:tblStyle w:val="T2"/>
        <w:tblW w:w="10193" w:type="dxa"/>
        <w:jc w:val="center"/>
        <w:tblLayout w:type="autofit"/>
        <w:tblCellMar>
          <w:left w:w="28" w:type="dxa"/>
          <w:right w:w="28" w:type="dxa"/>
        </w:tblCellMar>
      </w:tblPr>
      <w:tblGrid/>
      <w:tr>
        <w:trPr>
          <w:wAfter w:w="0" w:type="dxa"/>
          <w:trHeight w:hRule="atLeast" w:val="20"/>
        </w:trPr>
        <w:tc>
          <w:tcPr>
            <w:tcW w:w="2722" w:type="dxa"/>
            <w:vMerge w:val="restart"/>
            <w:tcBorders>
              <w:top w:val="single" w:sz="4" w:space="0" w:shadow="0" w:frame="0"/>
              <w:left w:val="none" w:sz="0" w:space="0" w:shadow="0" w:frame="0"/>
              <w:right w:val="none" w:sz="0" w:space="0" w:shadow="0" w:frame="0"/>
            </w:tcBorders>
            <w:tcMar>
              <w:left w:w="57" w:type="dxa"/>
              <w:right w:w="57" w:type="dxa"/>
            </w:tcMar>
            <w:vAlign w:val="center"/>
          </w:tcPr>
          <w:p>
            <w:pPr>
              <w:spacing w:before="120" w:after="120"/>
              <w:jc w:val="center"/>
              <w:rPr>
                <w:sz w:val="16"/>
              </w:rPr>
            </w:pPr>
            <w:r>
              <w:rPr>
                <w:sz w:val="16"/>
              </w:rPr>
              <w:t> </w:t>
            </w:r>
          </w:p>
          <w:p>
            <w:pPr>
              <w:spacing w:before="120" w:after="120"/>
              <w:jc w:val="center"/>
              <w:rPr>
                <w:sz w:val="16"/>
              </w:rPr>
            </w:pPr>
            <w:r>
              <w:rPr>
                <w:sz w:val="16"/>
              </w:rPr>
              <w:t> </w:t>
            </w:r>
          </w:p>
        </w:tc>
        <w:tc>
          <w:tcPr>
            <w:tcW w:w="4290" w:type="dxa"/>
            <w:gridSpan w:val="5"/>
            <w:tcBorders>
              <w:top w:val="single" w:sz="4" w:space="0" w:shadow="0" w:frame="0"/>
              <w:left w:val="single" w:sz="4" w:space="0" w:shadow="0" w:frame="0"/>
              <w:bottom w:val="single" w:sz="4" w:space="0" w:shadow="0" w:frame="0"/>
              <w:right w:val="single" w:sz="4" w:space="0" w:shadow="0" w:frame="0" w:color="000000"/>
            </w:tcBorders>
            <w:tcMar>
              <w:left w:w="57" w:type="dxa"/>
              <w:right w:w="57" w:type="dxa"/>
            </w:tcMar>
            <w:vAlign w:val="center"/>
          </w:tcPr>
          <w:p>
            <w:pPr>
              <w:spacing w:lineRule="auto" w:line="264" w:before="60" w:after="60"/>
              <w:jc w:val="center"/>
              <w:rPr>
                <w:sz w:val="14"/>
              </w:rPr>
            </w:pPr>
            <w:r>
              <w:rPr>
                <w:sz w:val="14"/>
              </w:rPr>
              <w:t>Total number</w:t>
            </w:r>
          </w:p>
        </w:tc>
        <w:tc>
          <w:tcPr>
            <w:tcW w:w="3181" w:type="dxa"/>
            <w:gridSpan w:val="5"/>
            <w:tcBorders>
              <w:top w:val="single" w:sz="4"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64" w:before="60" w:after="60"/>
              <w:jc w:val="center"/>
              <w:rPr>
                <w:sz w:val="14"/>
              </w:rPr>
            </w:pPr>
            <w:r>
              <w:rPr>
                <w:sz w:val="14"/>
              </w:rPr>
              <w:t>Indices</w:t>
            </w:r>
          </w:p>
        </w:tc>
      </w:tr>
      <w:tr>
        <w:trPr>
          <w:wAfter w:w="0" w:type="dxa"/>
          <w:trHeight w:hRule="atLeast" w:val="20"/>
        </w:trPr>
        <w:tc>
          <w:tcPr>
            <w:tcW w:w="2722" w:type="dxa"/>
            <w:vMerge w:val="continue"/>
            <w:tcBorders>
              <w:left w:val="none" w:sz="0" w:space="0" w:shadow="0" w:frame="0"/>
              <w:right w:val="none" w:sz="0" w:space="0" w:shadow="0" w:frame="0"/>
            </w:tcBorders>
            <w:tcMar>
              <w:left w:w="57" w:type="dxa"/>
              <w:right w:w="57" w:type="dxa"/>
            </w:tcMar>
            <w:vAlign w:val="center"/>
          </w:tcPr>
          <w:p>
            <w:pPr>
              <w:jc w:val="center"/>
              <w:rPr>
                <w:sz w:val="16"/>
              </w:rPr>
            </w:pPr>
          </w:p>
        </w:tc>
        <w:tc>
          <w:tcPr>
            <w:tcW w:w="858" w:type="dxa"/>
            <w:vMerge w:val="restart"/>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2008</w:t>
            </w:r>
          </w:p>
        </w:tc>
        <w:tc>
          <w:tcPr>
            <w:tcW w:w="858" w:type="dxa"/>
            <w:vMerge w:val="restart"/>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2009</w:t>
            </w:r>
          </w:p>
        </w:tc>
        <w:tc>
          <w:tcPr>
            <w:tcW w:w="858" w:type="dxa"/>
            <w:vMerge w:val="restart"/>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2010</w:t>
            </w:r>
          </w:p>
        </w:tc>
        <w:tc>
          <w:tcPr>
            <w:tcW w:w="858" w:type="dxa"/>
            <w:vMerge w:val="restart"/>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2011</w:t>
            </w:r>
          </w:p>
        </w:tc>
        <w:tc>
          <w:tcPr>
            <w:tcW w:w="858" w:type="dxa"/>
            <w:vMerge w:val="restart"/>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jc w:val="center"/>
              <w:rPr>
                <w:sz w:val="16"/>
              </w:rPr>
            </w:pPr>
            <w:r>
              <w:rPr>
                <w:sz w:val="16"/>
              </w:rPr>
              <w:t>2012</w:t>
            </w:r>
          </w:p>
        </w:tc>
        <w:tc>
          <w:tcPr>
            <w:tcW w:w="636"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before="60" w:after="60"/>
              <w:jc w:val="center"/>
              <w:rPr>
                <w:sz w:val="16"/>
                <w:u w:val="single"/>
              </w:rPr>
            </w:pPr>
            <w:r>
              <w:rPr>
                <w:sz w:val="16"/>
                <w:u w:val="single"/>
              </w:rPr>
              <w:t>2009</w:t>
            </w:r>
          </w:p>
        </w:tc>
        <w:tc>
          <w:tcPr>
            <w:tcW w:w="636"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before="60" w:after="60"/>
              <w:jc w:val="center"/>
              <w:rPr>
                <w:sz w:val="16"/>
                <w:u w:val="single"/>
              </w:rPr>
            </w:pPr>
            <w:r>
              <w:rPr>
                <w:sz w:val="16"/>
                <w:u w:val="single"/>
              </w:rPr>
              <w:t>2010</w:t>
            </w:r>
          </w:p>
        </w:tc>
        <w:tc>
          <w:tcPr>
            <w:tcW w:w="636"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before="60" w:after="60"/>
              <w:jc w:val="center"/>
              <w:rPr>
                <w:sz w:val="16"/>
                <w:u w:val="single"/>
              </w:rPr>
            </w:pPr>
            <w:r>
              <w:rPr>
                <w:sz w:val="16"/>
                <w:u w:val="single"/>
              </w:rPr>
              <w:t>2011</w:t>
            </w:r>
          </w:p>
        </w:tc>
        <w:tc>
          <w:tcPr>
            <w:tcW w:w="636"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before="60" w:after="60"/>
              <w:jc w:val="center"/>
              <w:rPr>
                <w:sz w:val="16"/>
                <w:u w:val="single"/>
              </w:rPr>
            </w:pPr>
            <w:r>
              <w:rPr>
                <w:sz w:val="16"/>
                <w:u w:val="single"/>
              </w:rPr>
              <w:t>2012</w:t>
            </w:r>
          </w:p>
        </w:tc>
        <w:tc>
          <w:tcPr>
            <w:tcW w:w="6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before="60" w:after="60"/>
              <w:jc w:val="center"/>
              <w:rPr>
                <w:sz w:val="16"/>
                <w:u w:val="single"/>
              </w:rPr>
            </w:pPr>
            <w:r>
              <w:rPr>
                <w:sz w:val="16"/>
                <w:u w:val="single"/>
              </w:rPr>
              <w:t>2012</w:t>
            </w:r>
          </w:p>
        </w:tc>
      </w:tr>
      <w:tr>
        <w:trPr>
          <w:wAfter w:w="0" w:type="dxa"/>
          <w:trHeight w:hRule="atLeast" w:val="20"/>
        </w:trPr>
        <w:tc>
          <w:tcPr>
            <w:tcW w:w="2722" w:type="dxa"/>
            <w:vMerge w:val="continue"/>
            <w:tcBorders>
              <w:left w:val="none" w:sz="0" w:space="0" w:shadow="0" w:frame="0"/>
              <w:bottom w:val="single" w:sz="4" w:space="0" w:shadow="0" w:frame="0"/>
              <w:right w:val="none" w:sz="0" w:space="0" w:shadow="0" w:frame="0"/>
            </w:tcBorders>
            <w:tcMar>
              <w:left w:w="57" w:type="dxa"/>
              <w:right w:w="57" w:type="dxa"/>
            </w:tcMar>
            <w:vAlign w:val="center"/>
          </w:tcPr>
          <w:p>
            <w:pPr>
              <w:jc w:val="cente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858" w:type="dxa"/>
            <w:vMerge w:val="continue"/>
            <w:tcBorders>
              <w:top w:val="none" w:sz="0" w:space="0" w:shadow="0" w:frame="0"/>
              <w:left w:val="single" w:sz="4" w:space="0" w:shadow="0" w:frame="0"/>
              <w:bottom w:val="single" w:sz="4" w:space="0" w:shadow="0" w:frame="0" w:color="000000"/>
              <w:right w:val="single" w:sz="4" w:space="0" w:shadow="0" w:frame="0"/>
            </w:tcBorders>
            <w:tcMar>
              <w:left w:w="57" w:type="dxa"/>
              <w:right w:w="57" w:type="dxa"/>
            </w:tcMar>
            <w:vAlign w:val="center"/>
          </w:tcPr>
          <w:p>
            <w:pPr>
              <w:rPr>
                <w:sz w:val="16"/>
              </w:rPr>
            </w:pPr>
          </w:p>
        </w:tc>
        <w:tc>
          <w:tcPr>
            <w:tcW w:w="636" w:type="dxa"/>
            <w:tcBorders>
              <w:top w:val="none" w:sz="0" w:space="0" w:shadow="0" w:frame="0"/>
              <w:left w:val="none" w:sz="0" w:space="0" w:shadow="0" w:frame="0"/>
              <w:bottom w:val="single" w:sz="4" w:space="0" w:shadow="0" w:frame="0"/>
              <w:right w:val="single" w:sz="4" w:space="0" w:shadow="0" w:frame="0"/>
            </w:tcBorders>
            <w:tcMar>
              <w:left w:w="57" w:type="dxa"/>
              <w:right w:w="57" w:type="dxa"/>
            </w:tcMar>
          </w:tcPr>
          <w:p>
            <w:pPr>
              <w:spacing w:before="60" w:after="60"/>
              <w:jc w:val="center"/>
              <w:rPr>
                <w:sz w:val="16"/>
              </w:rPr>
            </w:pPr>
            <w:r>
              <w:rPr>
                <w:sz w:val="16"/>
              </w:rPr>
              <w:t>2008</w:t>
            </w:r>
          </w:p>
        </w:tc>
        <w:tc>
          <w:tcPr>
            <w:tcW w:w="636" w:type="dxa"/>
            <w:tcBorders>
              <w:top w:val="none" w:sz="0" w:space="0" w:shadow="0" w:frame="0"/>
              <w:left w:val="none" w:sz="0" w:space="0" w:shadow="0" w:frame="0"/>
              <w:bottom w:val="single" w:sz="4" w:space="0" w:shadow="0" w:frame="0"/>
              <w:right w:val="none" w:sz="0" w:space="0" w:shadow="0" w:frame="0"/>
            </w:tcBorders>
            <w:tcMar>
              <w:left w:w="57" w:type="dxa"/>
              <w:right w:w="57" w:type="dxa"/>
            </w:tcMar>
          </w:tcPr>
          <w:p>
            <w:pPr>
              <w:spacing w:before="60" w:after="60"/>
              <w:jc w:val="center"/>
              <w:rPr>
                <w:sz w:val="16"/>
              </w:rPr>
            </w:pPr>
            <w:r>
              <w:rPr>
                <w:sz w:val="16"/>
              </w:rPr>
              <w:t>2009</w:t>
            </w:r>
          </w:p>
        </w:tc>
        <w:tc>
          <w:tcPr>
            <w:tcW w:w="636" w:type="dxa"/>
            <w:tcBorders>
              <w:top w:val="none" w:sz="0" w:space="0" w:shadow="0" w:frame="0"/>
              <w:left w:val="single" w:sz="4" w:space="0" w:shadow="0" w:frame="0"/>
              <w:bottom w:val="single" w:sz="4" w:space="0" w:shadow="0" w:frame="0"/>
              <w:right w:val="none" w:sz="0" w:space="0" w:shadow="0" w:frame="0"/>
            </w:tcBorders>
            <w:tcMar>
              <w:left w:w="57" w:type="dxa"/>
              <w:right w:w="57" w:type="dxa"/>
            </w:tcMar>
          </w:tcPr>
          <w:p>
            <w:pPr>
              <w:spacing w:before="60" w:after="60"/>
              <w:jc w:val="center"/>
              <w:rPr>
                <w:sz w:val="16"/>
              </w:rPr>
            </w:pPr>
            <w:r>
              <w:rPr>
                <w:sz w:val="16"/>
              </w:rPr>
              <w:t>2010</w:t>
            </w:r>
          </w:p>
        </w:tc>
        <w:tc>
          <w:tcPr>
            <w:tcW w:w="636" w:type="dxa"/>
            <w:tcBorders>
              <w:top w:val="none" w:sz="0" w:space="0" w:shadow="0" w:frame="0"/>
              <w:left w:val="single" w:sz="4" w:space="0" w:shadow="0" w:frame="0"/>
              <w:bottom w:val="single" w:sz="4" w:space="0" w:shadow="0" w:frame="0"/>
              <w:right w:val="none" w:sz="0" w:space="0" w:shadow="0" w:frame="0"/>
            </w:tcBorders>
            <w:tcMar>
              <w:left w:w="57" w:type="dxa"/>
              <w:right w:w="57" w:type="dxa"/>
            </w:tcMar>
          </w:tcPr>
          <w:p>
            <w:pPr>
              <w:spacing w:before="60" w:after="60"/>
              <w:jc w:val="center"/>
              <w:rPr>
                <w:sz w:val="16"/>
              </w:rPr>
            </w:pPr>
            <w:r>
              <w:rPr>
                <w:sz w:val="16"/>
              </w:rPr>
              <w:t>2011</w:t>
            </w:r>
          </w:p>
        </w:tc>
        <w:tc>
          <w:tcPr>
            <w:tcW w:w="637" w:type="dxa"/>
            <w:tcBorders>
              <w:top w:val="none" w:sz="0" w:space="0" w:shadow="0" w:frame="0"/>
              <w:left w:val="single" w:sz="4" w:space="0" w:shadow="0" w:frame="0"/>
              <w:bottom w:val="single" w:sz="4" w:space="0" w:shadow="0" w:frame="0"/>
              <w:right w:val="none" w:sz="0" w:space="0" w:shadow="0" w:frame="0"/>
            </w:tcBorders>
            <w:tcMar>
              <w:left w:w="57" w:type="dxa"/>
              <w:right w:w="57" w:type="dxa"/>
            </w:tcMar>
          </w:tcPr>
          <w:p>
            <w:pPr>
              <w:spacing w:before="60" w:after="60"/>
              <w:jc w:val="center"/>
              <w:rPr>
                <w:sz w:val="16"/>
              </w:rPr>
            </w:pPr>
            <w:r>
              <w:rPr>
                <w:sz w:val="16"/>
              </w:rPr>
              <w:t>2008</w:t>
            </w:r>
          </w:p>
        </w:tc>
      </w:tr>
      <w:tr>
        <w:trPr>
          <w:wAfter w:w="0" w:type="dxa"/>
          <w:trHeight w:hRule="atLeast" w:val="20"/>
        </w:trPr>
        <w:tc>
          <w:tcPr>
            <w:tcW w:w="10193" w:type="dxa"/>
            <w:gridSpan w:val="11"/>
            <w:tcBorders>
              <w:left w:val="none" w:sz="0" w:space="0" w:shadow="0" w:frame="0"/>
              <w:right w:val="none" w:sz="0" w:space="0" w:shadow="0" w:frame="0"/>
            </w:tcBorders>
            <w:tcMar>
              <w:left w:w="57" w:type="dxa"/>
              <w:right w:w="57" w:type="dxa"/>
            </w:tcMar>
            <w:vAlign w:val="center"/>
          </w:tcPr>
          <w:p>
            <w:pPr>
              <w:spacing w:before="120" w:after="120"/>
              <w:jc w:val="center"/>
              <w:rPr>
                <w:b w:val="1"/>
                <w:sz w:val="16"/>
              </w:rPr>
            </w:pPr>
            <w:r>
              <w:rPr>
                <w:b w:val="1"/>
                <w:sz w:val="14"/>
              </w:rPr>
              <w:t>Crime reports</w:t>
            </w:r>
          </w:p>
        </w:tc>
      </w:tr>
      <w:tr>
        <w:trPr>
          <w:wAfter w:w="0" w:type="dxa"/>
          <w:trHeight w:hRule="atLeast" w:val="20"/>
        </w:trPr>
        <w:tc>
          <w:tcPr>
            <w:tcW w:w="2722" w:type="dxa"/>
            <w:tcBorders>
              <w:left w:val="none" w:sz="0" w:space="0" w:shadow="0" w:frame="0"/>
              <w:right w:val="single" w:sz="4" w:space="0" w:shadow="0" w:frame="0"/>
            </w:tcBorders>
            <w:tcMar>
              <w:left w:w="57" w:type="dxa"/>
              <w:right w:w="57" w:type="dxa"/>
            </w:tcMar>
            <w:vAlign w:val="bottom"/>
          </w:tcPr>
          <w:p>
            <w:pPr>
              <w:rPr>
                <w:b w:val="1"/>
                <w:sz w:val="16"/>
              </w:rPr>
            </w:pPr>
            <w:r>
              <w:rPr>
                <w:sz w:val="16"/>
              </w:rPr>
              <w:t xml:space="preserve"> Total</w:t>
            </w:r>
          </w:p>
        </w:tc>
        <w:tc>
          <w:tcPr>
            <w:tcW w:w="858"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4085</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3497</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3747</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4323</w:t>
            </w:r>
          </w:p>
        </w:tc>
        <w:tc>
          <w:tcPr>
            <w:tcW w:w="858"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3913</w:t>
            </w:r>
          </w:p>
        </w:tc>
        <w:tc>
          <w:tcPr>
            <w:tcW w:w="636" w:type="dxa"/>
            <w:tcBorders>
              <w:left w:val="single" w:sz="4" w:space="0" w:shadow="0" w:frame="0"/>
              <w:right w:val="none" w:sz="0" w:space="0" w:shadow="0" w:frame="0"/>
            </w:tcBorders>
            <w:tcMar>
              <w:left w:w="57" w:type="dxa"/>
              <w:right w:w="57" w:type="dxa"/>
            </w:tcMar>
            <w:vAlign w:val="bottom"/>
          </w:tcPr>
          <w:p>
            <w:pPr>
              <w:jc w:val="right"/>
              <w:rPr>
                <w:sz w:val="16"/>
              </w:rPr>
            </w:pPr>
            <w:r>
              <w:rPr>
                <w:sz w:val="16"/>
              </w:rPr>
              <w:t>86</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107</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115</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91</w:t>
            </w:r>
          </w:p>
        </w:tc>
        <w:tc>
          <w:tcPr>
            <w:tcW w:w="637" w:type="dxa"/>
            <w:tcBorders>
              <w:left w:val="none" w:sz="0" w:space="0" w:shadow="0" w:frame="0"/>
              <w:right w:val="none" w:sz="0" w:space="0" w:shadow="0" w:frame="0"/>
            </w:tcBorders>
            <w:tcMar>
              <w:left w:w="57" w:type="dxa"/>
              <w:right w:w="57" w:type="dxa"/>
            </w:tcMar>
            <w:vAlign w:val="bottom"/>
          </w:tcPr>
          <w:p>
            <w:pPr>
              <w:jc w:val="right"/>
              <w:rPr>
                <w:sz w:val="16"/>
              </w:rPr>
            </w:pPr>
            <w:r>
              <w:rPr>
                <w:sz w:val="16"/>
              </w:rPr>
              <w:t>96</w:t>
            </w:r>
          </w:p>
        </w:tc>
      </w:tr>
      <w:tr>
        <w:trPr>
          <w:wAfter w:w="0" w:type="dxa"/>
          <w:trHeight w:hRule="atLeast" w:val="20"/>
        </w:trPr>
        <w:tc>
          <w:tcPr>
            <w:tcW w:w="10193" w:type="dxa"/>
            <w:gridSpan w:val="11"/>
            <w:tcBorders>
              <w:left w:val="none" w:sz="0" w:space="0" w:shadow="0" w:frame="0"/>
              <w:right w:val="none" w:sz="0" w:space="0" w:shadow="0" w:frame="0"/>
            </w:tcBorders>
            <w:tcMar>
              <w:left w:w="57" w:type="dxa"/>
              <w:right w:w="57" w:type="dxa"/>
            </w:tcMar>
            <w:vAlign w:val="center"/>
          </w:tcPr>
          <w:p>
            <w:pPr>
              <w:spacing w:before="120" w:after="120"/>
              <w:jc w:val="center"/>
              <w:rPr>
                <w:b w:val="1"/>
                <w:sz w:val="16"/>
              </w:rPr>
            </w:pPr>
            <w:r>
              <w:rPr>
                <w:b w:val="1"/>
                <w:sz w:val="14"/>
              </w:rPr>
              <w:t>Charges</w:t>
            </w:r>
          </w:p>
        </w:tc>
      </w:tr>
      <w:tr>
        <w:trPr>
          <w:wAfter w:w="0" w:type="dxa"/>
          <w:trHeight w:hRule="atLeast" w:val="20"/>
        </w:trPr>
        <w:tc>
          <w:tcPr>
            <w:tcW w:w="2722" w:type="dxa"/>
            <w:tcBorders>
              <w:left w:val="none" w:sz="0" w:space="0" w:shadow="0" w:frame="0"/>
              <w:right w:val="single" w:sz="4" w:space="0" w:shadow="0" w:frame="0"/>
            </w:tcBorders>
            <w:tcMar>
              <w:left w:w="57" w:type="dxa"/>
              <w:right w:w="57" w:type="dxa"/>
            </w:tcMar>
            <w:vAlign w:val="bottom"/>
          </w:tcPr>
          <w:p>
            <w:pPr>
              <w:rPr>
                <w:b w:val="1"/>
                <w:sz w:val="16"/>
              </w:rPr>
            </w:pPr>
            <w:r>
              <w:rPr>
                <w:b w:val="1"/>
                <w:sz w:val="16"/>
              </w:rPr>
              <w:t xml:space="preserve"> </w:t>
            </w:r>
            <w:r>
              <w:rPr>
                <w:sz w:val="16"/>
              </w:rPr>
              <w:t>Total</w:t>
            </w:r>
          </w:p>
        </w:tc>
        <w:tc>
          <w:tcPr>
            <w:tcW w:w="858"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2833</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2465</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2205</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3140</w:t>
            </w:r>
          </w:p>
        </w:tc>
        <w:tc>
          <w:tcPr>
            <w:tcW w:w="858" w:type="dxa"/>
            <w:tcBorders>
              <w:left w:val="none" w:sz="0" w:space="0" w:shadow="0" w:frame="0"/>
              <w:right w:val="single" w:sz="4" w:space="0" w:shadow="0" w:frame="0"/>
            </w:tcBorders>
            <w:tcMar>
              <w:left w:w="57" w:type="dxa"/>
              <w:right w:w="57" w:type="dxa"/>
            </w:tcMar>
            <w:vAlign w:val="bottom"/>
          </w:tcPr>
          <w:p>
            <w:pPr>
              <w:jc w:val="right"/>
              <w:rPr>
                <w:sz w:val="16"/>
              </w:rPr>
            </w:pPr>
            <w:r>
              <w:rPr>
                <w:sz w:val="16"/>
              </w:rPr>
              <w:t>2946</w:t>
            </w:r>
          </w:p>
        </w:tc>
        <w:tc>
          <w:tcPr>
            <w:tcW w:w="636" w:type="dxa"/>
            <w:tcBorders>
              <w:left w:val="single" w:sz="4" w:space="0" w:shadow="0" w:frame="0"/>
              <w:right w:val="none" w:sz="0" w:space="0" w:shadow="0" w:frame="0"/>
            </w:tcBorders>
            <w:tcMar>
              <w:left w:w="57" w:type="dxa"/>
              <w:right w:w="57" w:type="dxa"/>
            </w:tcMar>
            <w:vAlign w:val="bottom"/>
          </w:tcPr>
          <w:p>
            <w:pPr>
              <w:jc w:val="right"/>
              <w:rPr>
                <w:sz w:val="16"/>
              </w:rPr>
            </w:pPr>
            <w:r>
              <w:rPr>
                <w:sz w:val="16"/>
              </w:rPr>
              <w:t>87</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89</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142</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94</w:t>
            </w:r>
          </w:p>
        </w:tc>
        <w:tc>
          <w:tcPr>
            <w:tcW w:w="637" w:type="dxa"/>
            <w:tcBorders>
              <w:left w:val="none" w:sz="0" w:space="0" w:shadow="0" w:frame="0"/>
              <w:right w:val="none" w:sz="0" w:space="0" w:shadow="0" w:frame="0"/>
            </w:tcBorders>
            <w:tcMar>
              <w:left w:w="57" w:type="dxa"/>
              <w:right w:w="57" w:type="dxa"/>
            </w:tcMar>
            <w:vAlign w:val="bottom"/>
          </w:tcPr>
          <w:p>
            <w:pPr>
              <w:jc w:val="right"/>
              <w:rPr>
                <w:sz w:val="16"/>
              </w:rPr>
            </w:pPr>
            <w:r>
              <w:rPr>
                <w:sz w:val="16"/>
              </w:rPr>
              <w:t>104</w:t>
            </w:r>
          </w:p>
        </w:tc>
      </w:tr>
      <w:tr>
        <w:trPr>
          <w:wAfter w:w="0" w:type="dxa"/>
          <w:trHeight w:hRule="atLeast" w:val="20"/>
        </w:trPr>
        <w:tc>
          <w:tcPr>
            <w:tcW w:w="10193" w:type="dxa"/>
            <w:gridSpan w:val="11"/>
            <w:tcBorders>
              <w:left w:val="none" w:sz="0" w:space="0" w:shadow="0" w:frame="0"/>
              <w:right w:val="none" w:sz="0" w:space="0" w:shadow="0" w:frame="0"/>
            </w:tcBorders>
            <w:tcMar>
              <w:left w:w="57" w:type="dxa"/>
              <w:right w:w="57" w:type="dxa"/>
            </w:tcMar>
            <w:vAlign w:val="center"/>
          </w:tcPr>
          <w:p>
            <w:pPr>
              <w:spacing w:before="120" w:after="120"/>
              <w:jc w:val="center"/>
              <w:rPr>
                <w:b w:val="1"/>
                <w:sz w:val="16"/>
              </w:rPr>
            </w:pPr>
            <w:r>
              <w:rPr>
                <w:b w:val="1"/>
                <w:sz w:val="14"/>
              </w:rPr>
              <w:t>Convictions</w:t>
            </w:r>
            <w:r>
              <w:rPr>
                <w:b w:val="1"/>
                <w:sz w:val="16"/>
              </w:rPr>
              <w:t xml:space="preserve">                          </w:t>
            </w:r>
          </w:p>
        </w:tc>
      </w:tr>
      <w:tr>
        <w:trPr>
          <w:wAfter w:w="0" w:type="dxa"/>
          <w:trHeight w:hRule="atLeast" w:val="20"/>
        </w:trPr>
        <w:tc>
          <w:tcPr>
            <w:tcW w:w="2722" w:type="dxa"/>
            <w:tcBorders>
              <w:left w:val="none" w:sz="0" w:space="0" w:shadow="0" w:frame="0"/>
              <w:right w:val="single" w:sz="4" w:space="0" w:shadow="0" w:frame="0"/>
            </w:tcBorders>
            <w:tcMar>
              <w:left w:w="57" w:type="dxa"/>
              <w:right w:w="57" w:type="dxa"/>
            </w:tcMar>
            <w:vAlign w:val="bottom"/>
          </w:tcPr>
          <w:p>
            <w:pPr>
              <w:rPr>
                <w:b w:val="1"/>
                <w:sz w:val="16"/>
              </w:rPr>
            </w:pPr>
            <w:r>
              <w:rPr>
                <w:sz w:val="16"/>
              </w:rPr>
              <w:t xml:space="preserve"> Total</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2229</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1902</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1640</w:t>
            </w:r>
          </w:p>
        </w:tc>
        <w:tc>
          <w:tcPr>
            <w:tcW w:w="858" w:type="dxa"/>
            <w:tcBorders>
              <w:left w:val="none" w:sz="0" w:space="0" w:shadow="0" w:frame="0"/>
              <w:right w:val="none" w:sz="0" w:space="0" w:shadow="0" w:frame="0"/>
            </w:tcBorders>
            <w:tcMar>
              <w:left w:w="57" w:type="dxa"/>
              <w:right w:w="57" w:type="dxa"/>
            </w:tcMar>
            <w:vAlign w:val="bottom"/>
          </w:tcPr>
          <w:p>
            <w:pPr>
              <w:jc w:val="right"/>
              <w:rPr>
                <w:sz w:val="16"/>
              </w:rPr>
            </w:pPr>
            <w:r>
              <w:rPr>
                <w:sz w:val="16"/>
              </w:rPr>
              <w:t>2290</w:t>
            </w:r>
          </w:p>
        </w:tc>
        <w:tc>
          <w:tcPr>
            <w:tcW w:w="858" w:type="dxa"/>
            <w:tcBorders>
              <w:left w:val="none" w:sz="0" w:space="0" w:shadow="0" w:frame="0"/>
              <w:right w:val="single" w:sz="4" w:space="0" w:shadow="0" w:frame="0"/>
            </w:tcBorders>
            <w:tcMar>
              <w:left w:w="57" w:type="dxa"/>
              <w:right w:w="57" w:type="dxa"/>
            </w:tcMar>
            <w:vAlign w:val="bottom"/>
          </w:tcPr>
          <w:p>
            <w:pPr>
              <w:jc w:val="right"/>
              <w:rPr>
                <w:sz w:val="16"/>
              </w:rPr>
            </w:pPr>
            <w:r>
              <w:rPr>
                <w:sz w:val="16"/>
              </w:rPr>
              <w:t>2302</w:t>
            </w:r>
          </w:p>
        </w:tc>
        <w:tc>
          <w:tcPr>
            <w:tcW w:w="636" w:type="dxa"/>
            <w:tcBorders>
              <w:left w:val="single" w:sz="4" w:space="0" w:shadow="0" w:frame="0"/>
              <w:right w:val="none" w:sz="0" w:space="0" w:shadow="0" w:frame="0"/>
            </w:tcBorders>
            <w:tcMar>
              <w:left w:w="57" w:type="dxa"/>
              <w:right w:w="57" w:type="dxa"/>
            </w:tcMar>
            <w:vAlign w:val="bottom"/>
          </w:tcPr>
          <w:p>
            <w:pPr>
              <w:jc w:val="right"/>
              <w:rPr>
                <w:sz w:val="16"/>
              </w:rPr>
            </w:pPr>
            <w:r>
              <w:rPr>
                <w:sz w:val="16"/>
              </w:rPr>
              <w:t>85</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86</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140</w:t>
            </w:r>
          </w:p>
        </w:tc>
        <w:tc>
          <w:tcPr>
            <w:tcW w:w="636" w:type="dxa"/>
            <w:tcBorders>
              <w:left w:val="none" w:sz="0" w:space="0" w:shadow="0" w:frame="0"/>
              <w:right w:val="none" w:sz="0" w:space="0" w:shadow="0" w:frame="0"/>
            </w:tcBorders>
            <w:tcMar>
              <w:left w:w="57" w:type="dxa"/>
              <w:right w:w="57" w:type="dxa"/>
            </w:tcMar>
            <w:vAlign w:val="bottom"/>
          </w:tcPr>
          <w:p>
            <w:pPr>
              <w:jc w:val="right"/>
              <w:rPr>
                <w:sz w:val="16"/>
              </w:rPr>
            </w:pPr>
            <w:r>
              <w:rPr>
                <w:sz w:val="16"/>
              </w:rPr>
              <w:t>101</w:t>
            </w:r>
          </w:p>
        </w:tc>
        <w:tc>
          <w:tcPr>
            <w:tcW w:w="637" w:type="dxa"/>
            <w:tcBorders>
              <w:left w:val="none" w:sz="0" w:space="0" w:shadow="0" w:frame="0"/>
              <w:right w:val="none" w:sz="0" w:space="0" w:shadow="0" w:frame="0"/>
            </w:tcBorders>
            <w:tcMar>
              <w:left w:w="57" w:type="dxa"/>
              <w:right w:w="57" w:type="dxa"/>
            </w:tcMar>
            <w:vAlign w:val="bottom"/>
          </w:tcPr>
          <w:p>
            <w:pPr>
              <w:jc w:val="right"/>
              <w:rPr>
                <w:sz w:val="16"/>
              </w:rPr>
            </w:pPr>
            <w:r>
              <w:rPr>
                <w:sz w:val="16"/>
              </w:rPr>
              <w:t>103</w:t>
            </w:r>
          </w:p>
        </w:tc>
      </w:tr>
    </w:tbl>
    <w:p>
      <w:pPr>
        <w:pStyle w:val="P30"/>
      </w:pPr>
    </w:p>
    <w:p>
      <w:pPr>
        <w:pStyle w:val="P30"/>
      </w:pPr>
    </w:p>
    <w:p>
      <w:pPr>
        <w:pStyle w:val="P30"/>
      </w:pPr>
    </w:p>
    <w:p>
      <w:pPr>
        <w:pStyle w:val="P25"/>
        <w:numPr>
          <w:ilvl w:val="0"/>
          <w:numId w:val="0"/>
        </w:numPr>
      </w:pPr>
    </w:p>
    <w:p>
      <w:pPr>
        <w:pStyle w:val="P25"/>
        <w:numPr>
          <w:ilvl w:val="0"/>
          <w:numId w:val="0"/>
        </w:numPr>
      </w:pPr>
    </w:p>
    <w:p>
      <w:pPr>
        <w:pStyle w:val="P25"/>
        <w:numPr>
          <w:ilvl w:val="0"/>
          <w:numId w:val="0"/>
        </w:numPr>
      </w:pPr>
    </w:p>
    <w:p>
      <w:pPr>
        <w:pStyle w:val="P25"/>
        <w:numPr>
          <w:ilvl w:val="0"/>
          <w:numId w:val="0"/>
        </w:numPr>
        <w:tabs>
          <w:tab w:val="clear" w:pos="284" w:leader="none"/>
        </w:tabs>
        <w:ind w:left="360"/>
      </w:pPr>
      <w:r>
        <w:t>2. Minors- crime reports by criminal offences, 2008–2012</w:t>
      </w:r>
    </w:p>
    <w:p>
      <w:pPr>
        <w:pStyle w:val="P19"/>
        <w:spacing w:lineRule="auto" w:line="240" w:after="60"/>
        <w:ind w:left="0"/>
        <w:rPr>
          <w:b w:val="1"/>
          <w:sz w:val="18"/>
        </w:rPr>
      </w:pPr>
      <w:r>
        <w:rPr>
          <w:b w:val="1"/>
          <w:sz w:val="18"/>
        </w:rPr>
        <w:t>Republic of Serbia</w:t>
      </w:r>
    </w:p>
    <w:tbl>
      <w:tblPr>
        <w:tblStyle w:val="T2"/>
        <w:tblW w:w="10150" w:type="dxa"/>
        <w:jc w:val="center"/>
        <w:tblInd w:w="-29" w:type="dxa"/>
        <w:tblLayout w:type="autofit"/>
        <w:tblCellMar>
          <w:left w:w="28" w:type="dxa"/>
          <w:right w:w="28" w:type="dxa"/>
        </w:tblCellMar>
      </w:tblPr>
      <w:tblGrid/>
      <w:tr>
        <w:trPr>
          <w:wAfter w:w="0" w:type="dxa"/>
          <w:trHeight w:hRule="atLeast" w:val="20"/>
        </w:trPr>
        <w:tc>
          <w:tcPr>
            <w:tcW w:w="3629" w:type="dxa"/>
            <w:vMerge w:val="restart"/>
            <w:tcBorders>
              <w:top w:val="single" w:sz="4" w:space="0" w:shadow="0" w:frame="0"/>
              <w:left w:val="none" w:sz="0" w:space="0" w:shadow="0" w:frame="0"/>
              <w:right w:val="single" w:sz="4" w:space="0" w:shadow="0" w:frame="0"/>
            </w:tcBorders>
            <w:vAlign w:val="center"/>
          </w:tcPr>
          <w:p>
            <w:pPr>
              <w:jc w:val="center"/>
              <w:rPr>
                <w:sz w:val="16"/>
              </w:rPr>
            </w:pP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bookmarkStart w:id="0" w:name="OLE_LINK1"/>
            <w:bookmarkStart w:id="1" w:name="_Hlk265576532"/>
            <w:bookmarkStart w:id="2" w:name="OLE_LINK2"/>
            <w:r>
              <w:rPr>
                <w:sz w:val="16"/>
              </w:rPr>
              <w:t>2008</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2009</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2010</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2011</w:t>
            </w:r>
          </w:p>
        </w:tc>
        <w:tc>
          <w:tcPr>
            <w:tcW w:w="1305"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2012</w:t>
            </w:r>
          </w:p>
        </w:tc>
      </w:tr>
      <w:tr>
        <w:trPr>
          <w:wAfter w:w="0" w:type="dxa"/>
          <w:trHeight w:hRule="atLeast" w:val="20"/>
        </w:trPr>
        <w:tc>
          <w:tcPr>
            <w:tcW w:w="3629" w:type="dxa"/>
            <w:vMerge w:val="continue"/>
            <w:tcBorders>
              <w:left w:val="none" w:sz="0" w:space="0" w:shadow="0" w:frame="0"/>
              <w:bottom w:val="single" w:sz="4" w:space="0" w:shadow="0" w:frame="0"/>
              <w:right w:val="single" w:sz="4" w:space="0" w:shadow="0" w:frame="0"/>
            </w:tcBorders>
            <w:vAlign w:val="bottom"/>
          </w:tcPr>
          <w:p>
            <w:pPr>
              <w:rPr>
                <w:sz w:val="14"/>
              </w:rPr>
            </w:pPr>
            <w:bookmarkEnd w:id="0"/>
            <w:bookmarkEnd w:id="1"/>
            <w:bookmarkEnd w:id="2"/>
          </w:p>
        </w:tc>
        <w:tc>
          <w:tcPr>
            <w:tcW w:w="652" w:type="dxa"/>
            <w:tcBorders>
              <w:top w:val="none" w:sz="0" w:space="0" w:shadow="0" w:frame="0"/>
              <w:left w:val="none" w:sz="0"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3"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r>
      <w:tr>
        <w:trPr>
          <w:wAfter w:w="0" w:type="dxa"/>
        </w:trPr>
        <w:tc>
          <w:tcPr>
            <w:tcW w:w="3629" w:type="dxa"/>
            <w:tcBorders>
              <w:top w:val="none" w:sz="0" w:space="0" w:shadow="0" w:frame="0"/>
              <w:left w:val="none" w:sz="0" w:space="0" w:shadow="0" w:frame="0"/>
              <w:right w:val="single" w:sz="4" w:space="0" w:shadow="0" w:frame="0"/>
            </w:tcBorders>
            <w:vAlign w:val="bottom"/>
          </w:tcPr>
          <w:p>
            <w:pPr>
              <w:rPr>
                <w:b w:val="1"/>
                <w:sz w:val="14"/>
              </w:rPr>
            </w:pPr>
          </w:p>
        </w:tc>
        <w:tc>
          <w:tcPr>
            <w:tcW w:w="652"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4"/>
              </w:rPr>
            </w:pP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single" w:sz="4"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single" w:sz="4"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single" w:sz="4"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single" w:sz="4"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3"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4"/>
              </w:rPr>
            </w:pPr>
          </w:p>
        </w:tc>
      </w:tr>
      <w:tr>
        <w:trPr>
          <w:wAfter w:w="0" w:type="dxa"/>
        </w:trPr>
        <w:tc>
          <w:tcPr>
            <w:tcW w:w="3629" w:type="dxa"/>
            <w:tcBorders>
              <w:top w:val="none" w:sz="0" w:space="0" w:shadow="0" w:frame="0"/>
              <w:left w:val="none" w:sz="0" w:space="0" w:shadow="0" w:frame="0"/>
              <w:right w:val="single" w:sz="4" w:space="0" w:shadow="0" w:frame="0"/>
            </w:tcBorders>
            <w:vAlign w:val="center"/>
          </w:tcPr>
          <w:p>
            <w:pPr>
              <w:rPr>
                <w:b w:val="1"/>
                <w:sz w:val="16"/>
              </w:rPr>
            </w:pPr>
            <w:r>
              <w:rPr>
                <w:b w:val="1"/>
                <w:sz w:val="16"/>
              </w:rPr>
              <w:t xml:space="preserve"> </w:t>
            </w:r>
            <w:r>
              <w:rPr>
                <w:b w:val="1"/>
                <w:sz w:val="14"/>
              </w:rPr>
              <w:t>Total</w:t>
            </w:r>
          </w:p>
        </w:tc>
        <w:tc>
          <w:tcPr>
            <w:tcW w:w="652"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6"/>
              </w:rPr>
            </w:pPr>
            <w:r>
              <w:rPr>
                <w:b w:val="1"/>
                <w:sz w:val="16"/>
              </w:rPr>
              <w:t>4085</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3497</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3747</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4323</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3913</w:t>
            </w:r>
          </w:p>
        </w:tc>
        <w:tc>
          <w:tcPr>
            <w:tcW w:w="653"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6"/>
              </w:rPr>
            </w:pPr>
            <w:r>
              <w:rPr>
                <w:b w:val="1"/>
                <w:sz w:val="16"/>
              </w:rPr>
              <w:t>100,0</w:t>
            </w:r>
          </w:p>
        </w:tc>
      </w:tr>
      <w:tr>
        <w:trPr>
          <w:wAfter w:w="0" w:type="dxa"/>
        </w:trPr>
        <w:tc>
          <w:tcPr>
            <w:tcW w:w="3629" w:type="dxa"/>
            <w:tcBorders>
              <w:left w:val="none" w:sz="0" w:space="0" w:shadow="0" w:frame="0"/>
              <w:right w:val="single" w:sz="4" w:space="0" w:shadow="0" w:frame="0"/>
            </w:tcBorders>
            <w:vAlign w:val="center"/>
          </w:tcPr>
          <w:p>
            <w:pPr>
              <w:rPr>
                <w:b w:val="1"/>
                <w:sz w:val="16"/>
              </w:rPr>
            </w:pPr>
            <w:r>
              <w:rPr>
                <w:b w:val="1"/>
                <w:sz w:val="16"/>
              </w:rPr>
              <w:t>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 xml:space="preserve">Criminal offences against life and limb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592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14,5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461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13,2</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482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12,9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582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451</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11,5</w:t>
            </w: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Criminal offences against civil freedoms and rights</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45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1,1</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74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2,0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82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81</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2,1</w:t>
            </w: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Criminal offences against sexual freedom</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70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67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1,1</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44</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1,1</w:t>
            </w: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Criminal offences against human’s health</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116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2,8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104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175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4,7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181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4,2</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156</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4,0</w:t>
            </w: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Criminal offences against economy</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39</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1,1</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18</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0,5</w:t>
            </w: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Criminal offences against property</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2471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60,5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2015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57,6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2142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57,2</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2450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56,7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2238</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57,2</w:t>
            </w: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Criminal offences against safety of public traffic</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241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207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153</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4,1</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162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125</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3,2</w:t>
            </w: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 xml:space="preserve">Criminal offences against public peace and order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274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335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9,6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386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10,3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511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11,8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528</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13,5</w:t>
            </w:r>
          </w:p>
        </w:tc>
      </w:tr>
      <w:tr>
        <w:trPr>
          <w:wAfter w:w="0" w:type="dxa"/>
        </w:trPr>
        <w:tc>
          <w:tcPr>
            <w:tcW w:w="3629" w:type="dxa"/>
            <w:tcBorders>
              <w:left w:val="none" w:sz="0" w:space="0" w:shadow="0" w:frame="0"/>
              <w:right w:val="single" w:sz="4" w:space="0" w:shadow="0" w:frame="0"/>
            </w:tcBorders>
            <w:vAlign w:val="bottom"/>
          </w:tcPr>
          <w:p>
            <w:pPr>
              <w:spacing w:lineRule="auto" w:line="264"/>
              <w:rPr>
                <w:sz w:val="14"/>
              </w:rPr>
            </w:pPr>
            <w:r>
              <w:rPr>
                <w:sz w:val="14"/>
              </w:rPr>
              <w:t>Other criminal offences</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258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243</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254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289</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272</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7,0</w:t>
            </w:r>
          </w:p>
        </w:tc>
      </w:tr>
    </w:tbl>
    <w:p>
      <w:pPr>
        <w:spacing w:after="120"/>
        <w:jc w:val="center"/>
        <w:rPr>
          <w:b w:val="1"/>
          <w:sz w:val="14"/>
        </w:rPr>
      </w:pPr>
    </w:p>
    <w:p>
      <w:pPr>
        <w:spacing w:after="120"/>
        <w:jc w:val="center"/>
        <w:rPr>
          <w:b w:val="1"/>
          <w:sz w:val="14"/>
        </w:rPr>
      </w:pPr>
    </w:p>
    <w:p>
      <w:pPr>
        <w:spacing w:after="120"/>
        <w:jc w:val="center"/>
        <w:rPr>
          <w:b w:val="1"/>
        </w:rPr>
      </w:pPr>
      <w:r>
        <w:rPr>
          <w:b w:val="1"/>
          <w:sz w:val="14"/>
        </w:rPr>
        <w:t xml:space="preserve">    </w:t>
      </w:r>
    </w:p>
    <w:p>
      <w:pPr>
        <w:pStyle w:val="P25"/>
        <w:numPr>
          <w:ilvl w:val="0"/>
          <w:numId w:val="0"/>
        </w:numPr>
        <w:spacing w:before="0"/>
      </w:pPr>
      <w:r>
        <w:t>3. Minors – submitted motions for pronouncing sanctions, by criminal offences, 2008–2012</w:t>
      </w:r>
    </w:p>
    <w:p>
      <w:pPr>
        <w:pStyle w:val="P19"/>
        <w:spacing w:lineRule="auto" w:line="240" w:after="60"/>
        <w:ind w:left="0"/>
        <w:rPr>
          <w:b w:val="1"/>
          <w:sz w:val="18"/>
        </w:rPr>
      </w:pPr>
      <w:r>
        <w:rPr>
          <w:b w:val="1"/>
          <w:sz w:val="18"/>
        </w:rPr>
        <w:t>Republic of Serbia</w:t>
      </w:r>
    </w:p>
    <w:tbl>
      <w:tblPr>
        <w:tblStyle w:val="T2"/>
        <w:tblW w:w="10150" w:type="dxa"/>
        <w:jc w:val="center"/>
        <w:tblLayout w:type="autofit"/>
      </w:tblPr>
      <w:tblGrid/>
      <w:tr>
        <w:trPr>
          <w:wAfter w:w="0" w:type="dxa"/>
          <w:trHeight w:hRule="atLeast" w:val="20"/>
        </w:trPr>
        <w:tc>
          <w:tcPr>
            <w:tcW w:w="3629" w:type="dxa"/>
            <w:vMerge w:val="restart"/>
            <w:tcBorders>
              <w:top w:val="single" w:sz="4" w:space="0" w:shadow="0" w:frame="0"/>
              <w:left w:val="none" w:sz="0" w:space="0" w:shadow="0" w:frame="0"/>
              <w:right w:val="single" w:sz="4" w:space="0" w:shadow="0" w:frame="0"/>
            </w:tcBorders>
            <w:tcMar>
              <w:left w:w="57" w:type="dxa"/>
              <w:right w:w="57" w:type="dxa"/>
            </w:tcMar>
            <w:vAlign w:val="center"/>
          </w:tcPr>
          <w:p>
            <w:pPr>
              <w:spacing w:before="120" w:after="120"/>
              <w:jc w:val="center"/>
              <w:rPr>
                <w:sz w:val="14"/>
              </w:rPr>
            </w:pP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2008</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2009</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2010</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2011</w:t>
            </w:r>
          </w:p>
        </w:tc>
        <w:tc>
          <w:tcPr>
            <w:tcW w:w="1305"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2012</w:t>
            </w:r>
          </w:p>
        </w:tc>
      </w:tr>
      <w:tr>
        <w:trPr>
          <w:wAfter w:w="0" w:type="dxa"/>
          <w:trHeight w:hRule="atLeast" w:val="20"/>
        </w:trPr>
        <w:tc>
          <w:tcPr>
            <w:tcW w:w="3629" w:type="dxa"/>
            <w:vMerge w:val="continue"/>
            <w:tcBorders>
              <w:left w:val="none" w:sz="0" w:space="0" w:shadow="0" w:frame="0"/>
              <w:bottom w:val="single" w:sz="4" w:space="0" w:shadow="0" w:frame="0"/>
              <w:right w:val="single" w:sz="4" w:space="0" w:shadow="0" w:frame="0"/>
            </w:tcBorders>
            <w:tcMar>
              <w:left w:w="57" w:type="dxa"/>
              <w:right w:w="57" w:type="dxa"/>
            </w:tcMar>
            <w:vAlign w:val="bottom"/>
          </w:tcPr>
          <w:p>
            <w:pPr>
              <w:spacing w:before="120" w:after="120"/>
              <w:rPr>
                <w:sz w:val="14"/>
              </w:rPr>
            </w:pPr>
          </w:p>
        </w:tc>
        <w:tc>
          <w:tcPr>
            <w:tcW w:w="652" w:type="dxa"/>
            <w:tcBorders>
              <w:top w:val="none" w:sz="0" w:space="0" w:shadow="0" w:frame="0"/>
              <w:left w:val="none" w:sz="0"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3"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r>
      <w:tr>
        <w:trPr>
          <w:wAfter w:w="0" w:type="dxa"/>
        </w:trPr>
        <w:tc>
          <w:tcPr>
            <w:tcW w:w="3629" w:type="dxa"/>
            <w:tcBorders>
              <w:top w:val="none" w:sz="0" w:space="0" w:shadow="0" w:frame="0"/>
              <w:left w:val="none" w:sz="0" w:space="0" w:shadow="0" w:frame="0"/>
              <w:right w:val="single" w:sz="4" w:space="0" w:shadow="0" w:frame="0"/>
            </w:tcBorders>
            <w:tcMar>
              <w:left w:w="57" w:type="dxa"/>
              <w:right w:w="57" w:type="dxa"/>
            </w:tcMar>
            <w:vAlign w:val="bottom"/>
          </w:tcPr>
          <w:p>
            <w:pPr>
              <w:rPr>
                <w:b w:val="1"/>
                <w:sz w:val="14"/>
              </w:rPr>
            </w:pPr>
          </w:p>
        </w:tc>
        <w:tc>
          <w:tcPr>
            <w:tcW w:w="652"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4"/>
              </w:rPr>
            </w:pP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single" w:sz="4"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single" w:sz="4"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single" w:sz="4"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single" w:sz="4"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3"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4"/>
              </w:rPr>
            </w:pPr>
          </w:p>
        </w:tc>
      </w:tr>
      <w:tr>
        <w:trPr>
          <w:wAfter w:w="0" w:type="dxa"/>
        </w:trPr>
        <w:tc>
          <w:tcPr>
            <w:tcW w:w="3629" w:type="dxa"/>
            <w:tcBorders>
              <w:top w:val="none" w:sz="0" w:space="0" w:shadow="0" w:frame="0"/>
              <w:left w:val="none" w:sz="0" w:space="0" w:shadow="0" w:frame="0"/>
              <w:right w:val="single" w:sz="4" w:space="0" w:shadow="0" w:frame="0"/>
            </w:tcBorders>
            <w:tcMar>
              <w:left w:w="57" w:type="dxa"/>
              <w:right w:w="57" w:type="dxa"/>
            </w:tcMar>
            <w:vAlign w:val="center"/>
          </w:tcPr>
          <w:p>
            <w:pPr>
              <w:rPr>
                <w:b w:val="1"/>
                <w:sz w:val="16"/>
              </w:rPr>
            </w:pPr>
            <w:r>
              <w:rPr>
                <w:b w:val="1"/>
                <w:sz w:val="14"/>
              </w:rPr>
              <w:t>Total</w:t>
            </w:r>
          </w:p>
        </w:tc>
        <w:tc>
          <w:tcPr>
            <w:tcW w:w="652"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6"/>
              </w:rPr>
            </w:pPr>
            <w:r>
              <w:rPr>
                <w:b w:val="1"/>
                <w:sz w:val="16"/>
              </w:rPr>
              <w:t>2833</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2465</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2205</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3140</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2946</w:t>
            </w:r>
          </w:p>
        </w:tc>
        <w:tc>
          <w:tcPr>
            <w:tcW w:w="653"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6"/>
              </w:rPr>
            </w:pPr>
            <w:r>
              <w:rPr>
                <w:b w:val="1"/>
                <w:sz w:val="16"/>
              </w:rPr>
              <w:t>100,0</w:t>
            </w:r>
          </w:p>
        </w:tc>
      </w:tr>
      <w:tr>
        <w:trPr>
          <w:wAfter w:w="0" w:type="dxa"/>
        </w:trPr>
        <w:tc>
          <w:tcPr>
            <w:tcW w:w="3629" w:type="dxa"/>
            <w:tcBorders>
              <w:left w:val="none" w:sz="0" w:space="0" w:shadow="0" w:frame="0"/>
              <w:right w:val="single" w:sz="4" w:space="0" w:shadow="0" w:frame="0"/>
            </w:tcBorders>
            <w:tcMar>
              <w:left w:w="57" w:type="dxa"/>
              <w:right w:w="57" w:type="dxa"/>
            </w:tcMar>
            <w:vAlign w:val="center"/>
          </w:tcPr>
          <w:p>
            <w:pPr>
              <w:rPr>
                <w:b w:val="1"/>
                <w:sz w:val="16"/>
              </w:rPr>
            </w:pPr>
            <w:r>
              <w:rPr>
                <w:b w:val="1"/>
                <w:sz w:val="16"/>
              </w:rPr>
              <w:t>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 xml:space="preserve">Criminal offences against life and limb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388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369</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15,0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278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12,6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381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12,1</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317</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10,8</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civil freedoms and rights</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29</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56</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1,9</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sexual freedom</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38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43</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25</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0,8</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human’s health</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142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127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5,2</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124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206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195</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6,6</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economy</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5</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0,2</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property</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1807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63,8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1424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57,8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1256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57,0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1754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55,9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1633</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55,4</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safety of public traffic</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107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89</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81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3,1</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95</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3,2</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 xml:space="preserve">Criminal offences against public peace and order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173</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6,1</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235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9,5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226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10,2</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415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13,2</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437</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14,8</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Other criminal offences</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145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5,1</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145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167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7,6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177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183</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6,2</w:t>
            </w:r>
          </w:p>
        </w:tc>
      </w:tr>
    </w:tbl>
    <w:p>
      <w:pPr>
        <w:pStyle w:val="P19"/>
        <w:ind w:firstLine="664" w:left="56"/>
        <w:rPr>
          <w:sz w:val="10"/>
        </w:rPr>
      </w:pPr>
    </w:p>
    <w:p>
      <w:pPr>
        <w:pStyle w:val="P19"/>
        <w:ind w:firstLine="664" w:left="56"/>
        <w:rPr>
          <w:sz w:val="10"/>
        </w:rPr>
      </w:pPr>
    </w:p>
    <w:p>
      <w:pPr>
        <w:pStyle w:val="P19"/>
        <w:ind w:firstLine="664" w:left="56"/>
        <w:rPr>
          <w:sz w:val="10"/>
        </w:rPr>
      </w:pPr>
    </w:p>
    <w:p>
      <w:pPr>
        <w:pStyle w:val="P25"/>
        <w:numPr>
          <w:ilvl w:val="0"/>
          <w:numId w:val="0"/>
        </w:numPr>
        <w:tabs>
          <w:tab w:val="clear" w:pos="284" w:leader="none"/>
        </w:tabs>
        <w:spacing w:before="240"/>
        <w:ind w:left="1440"/>
        <w:jc w:val="left"/>
      </w:pPr>
      <w:r>
        <w:t>4. Minors – pronounced sanctions, by criminal offences, 2008–2012</w:t>
      </w:r>
    </w:p>
    <w:p>
      <w:pPr>
        <w:pStyle w:val="P19"/>
        <w:spacing w:lineRule="auto" w:line="240" w:after="60"/>
        <w:ind w:left="0"/>
        <w:rPr>
          <w:b w:val="1"/>
          <w:sz w:val="18"/>
        </w:rPr>
      </w:pPr>
      <w:r>
        <w:rPr>
          <w:b w:val="1"/>
          <w:sz w:val="18"/>
        </w:rPr>
        <w:t>Republic of Serbia</w:t>
      </w:r>
    </w:p>
    <w:tbl>
      <w:tblPr>
        <w:tblStyle w:val="T2"/>
        <w:tblW w:w="0" w:type="auto"/>
        <w:jc w:val="center"/>
        <w:tblLayout w:type="autofit"/>
        <w:tblCellMar>
          <w:left w:w="28" w:type="dxa"/>
          <w:right w:w="28" w:type="dxa"/>
        </w:tblCellMar>
      </w:tblPr>
      <w:tblGrid/>
      <w:tr>
        <w:trPr>
          <w:wAfter w:w="0" w:type="dxa"/>
          <w:trHeight w:hRule="atLeast" w:val="20"/>
        </w:trPr>
        <w:tc>
          <w:tcPr>
            <w:tcW w:w="3629" w:type="dxa"/>
            <w:vMerge w:val="restart"/>
            <w:tcBorders>
              <w:top w:val="single" w:sz="4" w:space="0" w:shadow="0" w:frame="0"/>
              <w:left w:val="none" w:sz="0" w:space="0" w:shadow="0" w:frame="0"/>
              <w:right w:val="single" w:sz="4" w:space="0" w:shadow="0" w:frame="0"/>
            </w:tcBorders>
            <w:tcMar>
              <w:left w:w="57" w:type="dxa"/>
              <w:right w:w="57" w:type="dxa"/>
            </w:tcMar>
            <w:vAlign w:val="center"/>
          </w:tcPr>
          <w:p>
            <w:pPr>
              <w:spacing w:before="120" w:after="120"/>
              <w:jc w:val="center"/>
              <w:rPr>
                <w:sz w:val="14"/>
              </w:rPr>
            </w:pP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2008</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2009</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2010</w:t>
            </w:r>
          </w:p>
        </w:tc>
        <w:tc>
          <w:tcPr>
            <w:tcW w:w="130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2011</w:t>
            </w:r>
          </w:p>
        </w:tc>
        <w:tc>
          <w:tcPr>
            <w:tcW w:w="1305"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2012</w:t>
            </w:r>
          </w:p>
        </w:tc>
      </w:tr>
      <w:tr>
        <w:trPr>
          <w:wAfter w:w="0" w:type="dxa"/>
          <w:trHeight w:hRule="atLeast" w:val="20"/>
        </w:trPr>
        <w:tc>
          <w:tcPr>
            <w:tcW w:w="3629" w:type="dxa"/>
            <w:vMerge w:val="continue"/>
            <w:tcBorders>
              <w:left w:val="none" w:sz="0" w:space="0" w:shadow="0" w:frame="0"/>
              <w:bottom w:val="single" w:sz="4" w:space="0" w:shadow="0" w:frame="0"/>
              <w:right w:val="single" w:sz="4" w:space="0" w:shadow="0" w:frame="0"/>
            </w:tcBorders>
            <w:tcMar>
              <w:left w:w="57" w:type="dxa"/>
              <w:right w:w="57" w:type="dxa"/>
            </w:tcMar>
            <w:vAlign w:val="bottom"/>
          </w:tcPr>
          <w:p>
            <w:pPr>
              <w:spacing w:before="120" w:after="120"/>
              <w:rPr>
                <w:sz w:val="14"/>
              </w:rPr>
            </w:pPr>
          </w:p>
        </w:tc>
        <w:tc>
          <w:tcPr>
            <w:tcW w:w="652" w:type="dxa"/>
            <w:tcBorders>
              <w:top w:val="none" w:sz="0" w:space="0" w:shadow="0" w:frame="0"/>
              <w:left w:val="none" w:sz="0"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2"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c>
          <w:tcPr>
            <w:tcW w:w="652"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120" w:after="120"/>
              <w:jc w:val="center"/>
              <w:rPr>
                <w:sz w:val="16"/>
              </w:rPr>
            </w:pPr>
            <w:r>
              <w:rPr>
                <w:sz w:val="14"/>
              </w:rPr>
              <w:t>Number</w:t>
            </w:r>
          </w:p>
        </w:tc>
        <w:tc>
          <w:tcPr>
            <w:tcW w:w="653"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before="120" w:after="120"/>
              <w:jc w:val="center"/>
              <w:rPr>
                <w:sz w:val="16"/>
              </w:rPr>
            </w:pPr>
            <w:r>
              <w:rPr>
                <w:sz w:val="16"/>
              </w:rPr>
              <w:t>%</w:t>
            </w:r>
          </w:p>
        </w:tc>
      </w:tr>
      <w:tr>
        <w:trPr>
          <w:wAfter w:w="0" w:type="dxa"/>
        </w:trPr>
        <w:tc>
          <w:tcPr>
            <w:tcW w:w="3629" w:type="dxa"/>
            <w:tcBorders>
              <w:top w:val="none" w:sz="0" w:space="0" w:shadow="0" w:frame="0"/>
              <w:left w:val="none" w:sz="0" w:space="0" w:shadow="0" w:frame="0"/>
              <w:right w:val="single" w:sz="4" w:space="0" w:shadow="0" w:frame="0"/>
            </w:tcBorders>
            <w:tcMar>
              <w:left w:w="57" w:type="dxa"/>
              <w:right w:w="57" w:type="dxa"/>
            </w:tcMar>
            <w:vAlign w:val="bottom"/>
          </w:tcPr>
          <w:p>
            <w:pPr>
              <w:rPr>
                <w:b w:val="1"/>
                <w:sz w:val="14"/>
              </w:rPr>
            </w:pPr>
          </w:p>
        </w:tc>
        <w:tc>
          <w:tcPr>
            <w:tcW w:w="652"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4"/>
              </w:rPr>
            </w:pP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single" w:sz="4"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single" w:sz="4"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single" w:sz="4"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2" w:type="dxa"/>
            <w:tcBorders>
              <w:top w:val="single" w:sz="4" w:space="0" w:shadow="0" w:frame="0"/>
              <w:left w:val="none" w:sz="0" w:space="0" w:shadow="0" w:frame="0"/>
              <w:right w:val="single" w:sz="4" w:space="0" w:shadow="0" w:frame="0"/>
            </w:tcBorders>
            <w:tcMar>
              <w:left w:w="57" w:type="dxa"/>
              <w:right w:w="57" w:type="dxa"/>
            </w:tcMar>
            <w:vAlign w:val="bottom"/>
          </w:tcPr>
          <w:p>
            <w:pPr>
              <w:jc w:val="right"/>
              <w:rPr>
                <w:b w:val="1"/>
                <w:sz w:val="14"/>
              </w:rPr>
            </w:pP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4"/>
              </w:rPr>
            </w:pPr>
          </w:p>
        </w:tc>
        <w:tc>
          <w:tcPr>
            <w:tcW w:w="653"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4"/>
              </w:rPr>
            </w:pPr>
          </w:p>
        </w:tc>
      </w:tr>
      <w:tr>
        <w:trPr>
          <w:wAfter w:w="0" w:type="dxa"/>
        </w:trPr>
        <w:tc>
          <w:tcPr>
            <w:tcW w:w="3629" w:type="dxa"/>
            <w:tcBorders>
              <w:top w:val="none" w:sz="0" w:space="0" w:shadow="0" w:frame="0"/>
              <w:left w:val="none" w:sz="0" w:space="0" w:shadow="0" w:frame="0"/>
              <w:right w:val="single" w:sz="4" w:space="0" w:shadow="0" w:frame="0"/>
            </w:tcBorders>
            <w:tcMar>
              <w:left w:w="57" w:type="dxa"/>
              <w:right w:w="57" w:type="dxa"/>
            </w:tcMar>
            <w:vAlign w:val="center"/>
          </w:tcPr>
          <w:p>
            <w:pPr>
              <w:rPr>
                <w:b w:val="1"/>
                <w:sz w:val="16"/>
              </w:rPr>
            </w:pPr>
            <w:r>
              <w:rPr>
                <w:b w:val="1"/>
                <w:sz w:val="14"/>
              </w:rPr>
              <w:t>Total</w:t>
            </w:r>
          </w:p>
        </w:tc>
        <w:tc>
          <w:tcPr>
            <w:tcW w:w="652"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6"/>
              </w:rPr>
            </w:pPr>
            <w:r>
              <w:rPr>
                <w:b w:val="1"/>
                <w:sz w:val="16"/>
              </w:rPr>
              <w:t>2229</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1902</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1640</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2290</w:t>
            </w:r>
          </w:p>
        </w:tc>
        <w:tc>
          <w:tcPr>
            <w:tcW w:w="652" w:type="dxa"/>
            <w:tcBorders>
              <w:top w:val="none" w:sz="0" w:space="0" w:shadow="0" w:frame="0"/>
              <w:left w:val="none" w:sz="0" w:space="0" w:shadow="0" w:frame="0"/>
              <w:right w:val="single" w:sz="4" w:space="0" w:shadow="0" w:frame="0"/>
            </w:tcBorders>
            <w:tcMar>
              <w:left w:w="57" w:type="dxa"/>
              <w:right w:w="57" w:type="dxa"/>
            </w:tcMar>
            <w:vAlign w:val="bottom"/>
          </w:tcPr>
          <w:p>
            <w:pPr>
              <w:jc w:val="right"/>
              <w:rPr>
                <w:b w:val="1"/>
                <w:sz w:val="16"/>
              </w:rPr>
            </w:pPr>
            <w:r>
              <w:rPr>
                <w:b w:val="1"/>
                <w:sz w:val="16"/>
              </w:rPr>
              <w:t>100,0</w:t>
            </w:r>
          </w:p>
        </w:tc>
        <w:tc>
          <w:tcPr>
            <w:tcW w:w="652" w:type="dxa"/>
            <w:tcBorders>
              <w:top w:val="none" w:sz="0" w:space="0" w:shadow="0" w:frame="0"/>
              <w:left w:val="single" w:sz="4" w:space="0" w:shadow="0" w:frame="0"/>
              <w:right w:val="none" w:sz="0" w:space="0" w:shadow="0" w:frame="0"/>
            </w:tcBorders>
            <w:tcMar>
              <w:left w:w="57" w:type="dxa"/>
              <w:right w:w="57" w:type="dxa"/>
            </w:tcMar>
            <w:vAlign w:val="bottom"/>
          </w:tcPr>
          <w:p>
            <w:pPr>
              <w:jc w:val="right"/>
              <w:rPr>
                <w:b w:val="1"/>
                <w:sz w:val="16"/>
              </w:rPr>
            </w:pPr>
            <w:r>
              <w:rPr>
                <w:b w:val="1"/>
                <w:sz w:val="16"/>
              </w:rPr>
              <w:t>2302</w:t>
            </w:r>
          </w:p>
        </w:tc>
        <w:tc>
          <w:tcPr>
            <w:tcW w:w="653" w:type="dxa"/>
            <w:tcBorders>
              <w:top w:val="none" w:sz="0" w:space="0" w:shadow="0" w:frame="0"/>
              <w:left w:val="none" w:sz="0" w:space="0" w:shadow="0" w:frame="0"/>
              <w:right w:val="none" w:sz="0" w:space="0" w:shadow="0" w:frame="0"/>
            </w:tcBorders>
            <w:tcMar>
              <w:left w:w="57" w:type="dxa"/>
              <w:right w:w="57" w:type="dxa"/>
            </w:tcMar>
            <w:vAlign w:val="bottom"/>
          </w:tcPr>
          <w:p>
            <w:pPr>
              <w:jc w:val="right"/>
              <w:rPr>
                <w:b w:val="1"/>
                <w:sz w:val="16"/>
              </w:rPr>
            </w:pPr>
            <w:r>
              <w:rPr>
                <w:b w:val="1"/>
                <w:sz w:val="16"/>
              </w:rPr>
              <w:t>100,0</w:t>
            </w:r>
          </w:p>
        </w:tc>
      </w:tr>
      <w:tr>
        <w:trPr>
          <w:wAfter w:w="0" w:type="dxa"/>
        </w:trPr>
        <w:tc>
          <w:tcPr>
            <w:tcW w:w="3629" w:type="dxa"/>
            <w:tcBorders>
              <w:left w:val="none" w:sz="0" w:space="0" w:shadow="0" w:frame="0"/>
              <w:right w:val="single" w:sz="4" w:space="0" w:shadow="0" w:frame="0"/>
            </w:tcBorders>
            <w:tcMar>
              <w:left w:w="57" w:type="dxa"/>
              <w:right w:w="57" w:type="dxa"/>
            </w:tcMar>
            <w:vAlign w:val="center"/>
          </w:tcPr>
          <w:p>
            <w:pPr>
              <w:rPr>
                <w:b w:val="1"/>
                <w:sz w:val="16"/>
              </w:rPr>
            </w:pPr>
            <w:r>
              <w:rPr>
                <w:b w:val="1"/>
                <w:sz w:val="16"/>
              </w:rPr>
              <w:t>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 xml:space="preserve">Criminal offences against life and limb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321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14,4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275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14,5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208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12,7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289</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12,6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263</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11,4</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civil freedoms and rights</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47</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2,0</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sexual freedom</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31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2,0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17</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33</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18</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0,8</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human’s health</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106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4,8</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4,9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138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146</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6,3</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economy</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12</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0,6</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0,7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5</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0,2</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property</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1424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63,9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1091</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57,4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960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58,5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1305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57,0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1316</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57,2</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Criminal offences against safety of public traffic</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78</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3,5</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70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60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76</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3,3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67</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2,9</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 xml:space="preserve">Criminal offences against public peace and order  </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133</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6,0</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195</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10,3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154</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9,4</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290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12,7</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311</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13,5</w:t>
            </w:r>
          </w:p>
        </w:tc>
      </w:tr>
      <w:tr>
        <w:trPr>
          <w:wAfter w:w="0" w:type="dxa"/>
        </w:trPr>
        <w:tc>
          <w:tcPr>
            <w:tcW w:w="3629" w:type="dxa"/>
            <w:tcBorders>
              <w:left w:val="none" w:sz="0" w:space="0" w:shadow="0" w:frame="0"/>
              <w:right w:val="single" w:sz="4" w:space="0" w:shadow="0" w:frame="0"/>
            </w:tcBorders>
            <w:tcMar>
              <w:left w:w="57" w:type="dxa"/>
              <w:right w:w="57" w:type="dxa"/>
            </w:tcMar>
            <w:vAlign w:val="bottom"/>
          </w:tcPr>
          <w:p>
            <w:pPr>
              <w:spacing w:lineRule="auto" w:line="264"/>
              <w:rPr>
                <w:sz w:val="14"/>
              </w:rPr>
            </w:pPr>
            <w:r>
              <w:rPr>
                <w:sz w:val="14"/>
              </w:rPr>
              <w:t>Other criminal offences</w:t>
            </w:r>
          </w:p>
        </w:tc>
        <w:tc>
          <w:tcPr>
            <w:tcW w:w="652" w:type="dxa"/>
            <w:tcBorders>
              <w:left w:val="none" w:sz="0" w:space="0" w:shadow="0" w:frame="0"/>
              <w:right w:val="none" w:sz="0" w:space="0" w:shadow="0" w:frame="0"/>
            </w:tcBorders>
            <w:tcMar>
              <w:left w:w="57" w:type="dxa"/>
              <w:right w:w="57" w:type="dxa"/>
            </w:tcMar>
            <w:vAlign w:val="bottom"/>
          </w:tcPr>
          <w:p>
            <w:pPr>
              <w:jc w:val="right"/>
              <w:rPr>
                <w:sz w:val="16"/>
              </w:rPr>
            </w:pPr>
            <w:r>
              <w:rPr>
                <w:sz w:val="16"/>
              </w:rPr>
              <w:t>110</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4,9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113</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5,9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119</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7,3</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113</w:t>
            </w:r>
          </w:p>
        </w:tc>
        <w:tc>
          <w:tcPr>
            <w:tcW w:w="652" w:type="dxa"/>
            <w:tcBorders>
              <w:left w:val="none" w:sz="0" w:space="0" w:shadow="0" w:frame="0"/>
              <w:right w:val="single" w:sz="4" w:space="0" w:shadow="0" w:frame="0"/>
            </w:tcBorders>
            <w:tcMar>
              <w:left w:w="57" w:type="dxa"/>
              <w:right w:w="57" w:type="dxa"/>
            </w:tcMar>
            <w:vAlign w:val="bottom"/>
          </w:tcPr>
          <w:p>
            <w:pPr>
              <w:jc w:val="right"/>
              <w:rPr>
                <w:sz w:val="16"/>
              </w:rPr>
            </w:pPr>
            <w:r>
              <w:rPr>
                <w:sz w:val="16"/>
              </w:rPr>
              <w:t>4,9</w:t>
            </w:r>
          </w:p>
        </w:tc>
        <w:tc>
          <w:tcPr>
            <w:tcW w:w="652" w:type="dxa"/>
            <w:tcBorders>
              <w:left w:val="single" w:sz="4" w:space="0" w:shadow="0" w:frame="0"/>
              <w:right w:val="none" w:sz="0" w:space="0" w:shadow="0" w:frame="0"/>
            </w:tcBorders>
            <w:tcMar>
              <w:left w:w="57" w:type="dxa"/>
              <w:right w:w="57" w:type="dxa"/>
            </w:tcMar>
            <w:vAlign w:val="bottom"/>
          </w:tcPr>
          <w:p>
            <w:pPr>
              <w:jc w:val="right"/>
              <w:rPr>
                <w:sz w:val="16"/>
              </w:rPr>
            </w:pPr>
            <w:r>
              <w:rPr>
                <w:sz w:val="16"/>
              </w:rPr>
              <w:t>129</w:t>
            </w:r>
          </w:p>
        </w:tc>
        <w:tc>
          <w:tcPr>
            <w:tcW w:w="653" w:type="dxa"/>
            <w:tcBorders>
              <w:left w:val="none" w:sz="0" w:space="0" w:shadow="0" w:frame="0"/>
              <w:right w:val="none" w:sz="0" w:space="0" w:shadow="0" w:frame="0"/>
            </w:tcBorders>
            <w:tcMar>
              <w:left w:w="57" w:type="dxa"/>
              <w:right w:w="57" w:type="dxa"/>
            </w:tcMar>
            <w:vAlign w:val="bottom"/>
          </w:tcPr>
          <w:p>
            <w:pPr>
              <w:jc w:val="right"/>
              <w:rPr>
                <w:sz w:val="16"/>
              </w:rPr>
            </w:pPr>
            <w:r>
              <w:rPr>
                <w:sz w:val="16"/>
              </w:rPr>
              <w:t>5,6</w:t>
            </w:r>
          </w:p>
        </w:tc>
      </w:tr>
    </w:tbl>
    <w:p>
      <w:pPr>
        <w:pStyle w:val="P25"/>
        <w:numPr>
          <w:ilvl w:val="0"/>
          <w:numId w:val="0"/>
        </w:numPr>
        <w:spacing w:before="240"/>
        <w:ind w:hanging="284" w:left="284"/>
      </w:pPr>
    </w:p>
    <w:p>
      <w:pPr>
        <w:pStyle w:val="P19"/>
        <w:ind w:firstLine="664" w:left="56"/>
        <w:rPr>
          <w:sz w:val="8"/>
        </w:rPr>
      </w:pPr>
    </w:p>
    <w:p>
      <w:pPr>
        <w:pStyle w:val="P19"/>
        <w:ind w:firstLine="664" w:left="56"/>
        <w:rPr>
          <w:sz w:val="8"/>
        </w:rPr>
      </w:pPr>
    </w:p>
    <w:p>
      <w:pPr>
        <w:pStyle w:val="P19"/>
        <w:ind w:firstLine="664" w:left="56"/>
        <w:rPr>
          <w:sz w:val="8"/>
        </w:rPr>
      </w:pPr>
    </w:p>
    <w:p>
      <w:pPr>
        <w:pStyle w:val="P19"/>
        <w:ind w:firstLine="664" w:left="56"/>
        <w:rPr>
          <w:sz w:val="8"/>
        </w:rPr>
      </w:pPr>
    </w:p>
    <w:p>
      <w:pPr>
        <w:pStyle w:val="P25"/>
        <w:numPr>
          <w:ilvl w:val="0"/>
          <w:numId w:val="0"/>
        </w:numPr>
        <w:spacing w:lineRule="auto" w:line="216"/>
      </w:pPr>
      <w:r>
        <w:t>5. Minors – pronounced sanctions, by age and sex, 2008–2012</w:t>
      </w:r>
    </w:p>
    <w:p>
      <w:pPr>
        <w:pStyle w:val="P19"/>
        <w:spacing w:lineRule="auto" w:line="216" w:after="60"/>
        <w:ind w:left="0"/>
        <w:rPr>
          <w:b w:val="1"/>
          <w:sz w:val="18"/>
        </w:rPr>
      </w:pPr>
      <w:r>
        <w:rPr>
          <w:b w:val="1"/>
          <w:sz w:val="18"/>
        </w:rPr>
        <w:t>Republic of Serbia</w:t>
      </w:r>
    </w:p>
    <w:tbl>
      <w:tblPr>
        <w:tblStyle w:val="T2"/>
        <w:tblW w:w="0" w:type="auto"/>
        <w:jc w:val="center"/>
        <w:tblLayout w:type="autofit"/>
        <w:tblCellMar>
          <w:left w:w="28" w:type="dxa"/>
          <w:right w:w="28" w:type="dxa"/>
        </w:tblCellMar>
      </w:tblPr>
      <w:tblGrid/>
      <w:tr>
        <w:trPr>
          <w:wAfter w:w="0" w:type="dxa"/>
        </w:trPr>
        <w:tc>
          <w:tcPr>
            <w:tcW w:w="1531" w:type="dxa"/>
            <w:vMerge w:val="restart"/>
            <w:tcBorders>
              <w:top w:val="single" w:sz="4" w:space="0" w:shadow="0" w:frame="0"/>
              <w:left w:val="none" w:sz="0" w:space="0" w:shadow="0" w:frame="0"/>
            </w:tcBorders>
            <w:tcMar>
              <w:left w:w="57" w:type="dxa"/>
              <w:right w:w="57" w:type="dxa"/>
            </w:tcMar>
            <w:vAlign w:val="bottom"/>
          </w:tcPr>
          <w:p>
            <w:pPr>
              <w:spacing w:lineRule="auto" w:line="216" w:before="120" w:after="120"/>
              <w:rPr>
                <w:sz w:val="14"/>
              </w:rPr>
            </w:pPr>
            <w:r>
              <w:rPr>
                <w:sz w:val="14"/>
              </w:rPr>
              <w:t> </w:t>
            </w:r>
          </w:p>
          <w:p>
            <w:pPr>
              <w:spacing w:lineRule="auto" w:line="216" w:before="120" w:after="120"/>
              <w:rPr>
                <w:sz w:val="14"/>
              </w:rPr>
            </w:pPr>
            <w:r>
              <w:rPr>
                <w:sz w:val="14"/>
              </w:rPr>
              <w:t> </w:t>
            </w:r>
          </w:p>
        </w:tc>
        <w:tc>
          <w:tcPr>
            <w:tcW w:w="680" w:type="dxa"/>
            <w:vMerge w:val="restart"/>
            <w:tcBorders>
              <w:top w:val="single" w:sz="4" w:space="0" w:shadow="0" w:frame="0"/>
              <w:left w:val="none" w:sz="0" w:space="0" w:shadow="0" w:frame="0"/>
              <w:right w:val="single" w:sz="4" w:space="0" w:shadow="0" w:frame="0"/>
            </w:tcBorders>
            <w:vAlign w:val="bottom"/>
          </w:tcPr>
          <w:p>
            <w:pPr>
              <w:spacing w:lineRule="auto" w:line="216" w:before="120" w:after="120"/>
              <w:rPr>
                <w:sz w:val="14"/>
              </w:rPr>
            </w:pPr>
          </w:p>
        </w:tc>
        <w:tc>
          <w:tcPr>
            <w:tcW w:w="1588"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2008</w:t>
            </w:r>
          </w:p>
        </w:tc>
        <w:tc>
          <w:tcPr>
            <w:tcW w:w="1588"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2009</w:t>
            </w:r>
          </w:p>
        </w:tc>
        <w:tc>
          <w:tcPr>
            <w:tcW w:w="1588"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2010</w:t>
            </w:r>
          </w:p>
        </w:tc>
        <w:tc>
          <w:tcPr>
            <w:tcW w:w="1588"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2011</w:t>
            </w:r>
          </w:p>
        </w:tc>
        <w:tc>
          <w:tcPr>
            <w:tcW w:w="1588"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2012</w:t>
            </w:r>
          </w:p>
        </w:tc>
      </w:tr>
      <w:tr>
        <w:trPr>
          <w:wAfter w:w="0" w:type="dxa"/>
        </w:trPr>
        <w:tc>
          <w:tcPr>
            <w:tcW w:w="1531" w:type="dxa"/>
            <w:vMerge w:val="continue"/>
            <w:tcBorders>
              <w:left w:val="none" w:sz="0" w:space="0" w:shadow="0" w:frame="0"/>
              <w:bottom w:val="single" w:sz="4" w:space="0" w:shadow="0" w:frame="0"/>
            </w:tcBorders>
            <w:tcMar>
              <w:left w:w="57" w:type="dxa"/>
              <w:right w:w="57" w:type="dxa"/>
            </w:tcMar>
            <w:vAlign w:val="bottom"/>
          </w:tcPr>
          <w:p>
            <w:pPr>
              <w:spacing w:lineRule="auto" w:line="216" w:before="120" w:after="120"/>
              <w:rPr>
                <w:sz w:val="14"/>
              </w:rPr>
            </w:pPr>
          </w:p>
        </w:tc>
        <w:tc>
          <w:tcPr>
            <w:tcW w:w="680" w:type="dxa"/>
            <w:vMerge w:val="continue"/>
            <w:tcBorders>
              <w:left w:val="none" w:sz="0" w:space="0" w:shadow="0" w:frame="0"/>
              <w:bottom w:val="single" w:sz="4" w:space="0" w:shadow="0" w:frame="0"/>
              <w:right w:val="single" w:sz="4" w:space="0" w:shadow="0" w:frame="0"/>
            </w:tcBorders>
            <w:vAlign w:val="bottom"/>
          </w:tcPr>
          <w:p>
            <w:pPr>
              <w:spacing w:lineRule="auto" w:line="216" w:before="120" w:after="120"/>
              <w:rPr>
                <w:sz w:val="14"/>
              </w:rPr>
            </w:pPr>
          </w:p>
        </w:tc>
        <w:tc>
          <w:tcPr>
            <w:tcW w:w="794" w:type="dxa"/>
            <w:tcBorders>
              <w:top w:val="none" w:sz="0" w:space="0" w:shadow="0" w:frame="0"/>
              <w:left w:val="none" w:sz="0"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94"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c>
          <w:tcPr>
            <w:tcW w:w="794"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94"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c>
          <w:tcPr>
            <w:tcW w:w="794"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94"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c>
          <w:tcPr>
            <w:tcW w:w="794"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94"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c>
          <w:tcPr>
            <w:tcW w:w="794"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94"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b w:val="1"/>
                <w:sz w:val="16"/>
              </w:rPr>
            </w:pP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b w:val="1"/>
                <w:sz w:val="16"/>
              </w:rPr>
            </w:pP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4"/>
              </w:rPr>
            </w:pP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4"/>
              </w:rPr>
            </w:pPr>
          </w:p>
        </w:tc>
        <w:tc>
          <w:tcPr>
            <w:tcW w:w="794"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4"/>
              </w:rPr>
            </w:pPr>
          </w:p>
        </w:tc>
        <w:tc>
          <w:tcPr>
            <w:tcW w:w="794" w:type="dxa"/>
            <w:tcBorders>
              <w:top w:val="single" w:sz="4"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4"/>
              </w:rPr>
            </w:pP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4"/>
              </w:rPr>
            </w:pP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4"/>
              </w:rPr>
            </w:pPr>
          </w:p>
        </w:tc>
        <w:tc>
          <w:tcPr>
            <w:tcW w:w="794"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4"/>
              </w:rPr>
            </w:pPr>
          </w:p>
        </w:tc>
        <w:tc>
          <w:tcPr>
            <w:tcW w:w="794" w:type="dxa"/>
            <w:tcBorders>
              <w:top w:val="single" w:sz="4"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4"/>
              </w:rPr>
            </w:pP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4"/>
              </w:rPr>
            </w:pP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4"/>
              </w:rPr>
            </w:pP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b w:val="1"/>
                <w:sz w:val="16"/>
              </w:rPr>
            </w:pPr>
            <w:r>
              <w:rPr>
                <w:b w:val="1"/>
                <w:sz w:val="16"/>
              </w:rPr>
              <w:t>Total</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b w:val="1"/>
                <w:sz w:val="16"/>
              </w:rPr>
            </w:pP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b w:val="1"/>
                <w:sz w:val="16"/>
              </w:rPr>
            </w:pPr>
            <w:r>
              <w:rPr>
                <w:b w:val="1"/>
                <w:sz w:val="16"/>
              </w:rPr>
              <w:t xml:space="preserve">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b w:val="1"/>
                <w:sz w:val="16"/>
              </w:rPr>
            </w:pPr>
            <w:r>
              <w:rPr>
                <w:b w:val="1"/>
                <w:sz w:val="16"/>
              </w:rPr>
              <w:t>Females</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2229</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1902</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1640</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2290</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2302</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100,0</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109</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94</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102</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145</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122</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100,0</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14 years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r>
              <w:rPr>
                <w:sz w:val="16"/>
              </w:rPr>
              <w:t>All</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429</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19,2</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344</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18,1</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285</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17,4</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406</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17,7</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406</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17,6</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r>
              <w:rPr>
                <w:sz w:val="16"/>
              </w:rPr>
              <w:t>Females</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24</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22,0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19</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20,2</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20</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19,6</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25</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17,2</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24</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19,7</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15 years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r>
              <w:rPr>
                <w:sz w:val="16"/>
              </w:rPr>
              <w:t>All</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563</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25,3</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447</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23,5</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385</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23,5</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573</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25,0</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578</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25,1</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r>
              <w:rPr>
                <w:sz w:val="16"/>
              </w:rPr>
              <w:t>Females</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35</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32,1</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29</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30,9</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30</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29,4</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39</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26,9</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32</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26,2</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16 years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r>
              <w:rPr>
                <w:sz w:val="16"/>
              </w:rPr>
              <w:t>All</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645</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28,9</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587</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30,9</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487</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29,7</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673</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29,4</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704</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30,6</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r>
              <w:rPr>
                <w:sz w:val="16"/>
              </w:rPr>
              <w:t>Females</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32</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29,4</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23</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24,5</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30</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29,4</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50</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34,5</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34</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27,9</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17 years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r>
              <w:rPr>
                <w:sz w:val="16"/>
              </w:rPr>
              <w:t>All</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592</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26,6</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524</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27,5</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483</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29,5</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638</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27,9</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614</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26,7</w:t>
            </w:r>
          </w:p>
        </w:tc>
      </w:tr>
      <w:tr>
        <w:trPr>
          <w:wAfter w:w="0" w:type="dxa"/>
        </w:trPr>
        <w:tc>
          <w:tcPr>
            <w:tcW w:w="1531" w:type="dxa"/>
            <w:tcBorders>
              <w:top w:val="none" w:sz="0" w:space="0" w:shadow="0" w:frame="0"/>
              <w:left w:val="none" w:sz="0" w:space="0" w:shadow="0" w:frame="0"/>
              <w:bottom w:val="none" w:sz="0" w:space="0" w:shadow="0" w:frame="0"/>
            </w:tcBorders>
            <w:tcMar>
              <w:left w:w="57" w:type="dxa"/>
              <w:right w:w="57" w:type="dxa"/>
            </w:tcMar>
            <w:vAlign w:val="bottom"/>
          </w:tcPr>
          <w:p>
            <w:pPr>
              <w:spacing w:lineRule="auto" w:line="216"/>
              <w:rPr>
                <w:sz w:val="16"/>
              </w:rPr>
            </w:pPr>
            <w:r>
              <w:rPr>
                <w:sz w:val="16"/>
              </w:rPr>
              <w:t xml:space="preserve">                                            </w:t>
            </w:r>
          </w:p>
        </w:tc>
        <w:tc>
          <w:tcPr>
            <w:tcW w:w="6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rPr>
                <w:sz w:val="16"/>
              </w:rPr>
            </w:pPr>
            <w:r>
              <w:rPr>
                <w:sz w:val="16"/>
              </w:rPr>
              <w:t>Females</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18</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16,5</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23</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24,5</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22</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21,6</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31</w:t>
            </w:r>
          </w:p>
        </w:tc>
        <w:tc>
          <w:tcPr>
            <w:tcW w:w="794"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21,4</w:t>
            </w:r>
          </w:p>
        </w:tc>
        <w:tc>
          <w:tcPr>
            <w:tcW w:w="794"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32</w:t>
            </w:r>
          </w:p>
        </w:tc>
        <w:tc>
          <w:tcPr>
            <w:tcW w:w="794"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26,2</w:t>
            </w:r>
          </w:p>
        </w:tc>
      </w:tr>
    </w:tbl>
    <w:p>
      <w:pPr>
        <w:spacing w:lineRule="auto" w:line="216"/>
        <w:jc w:val="center"/>
        <w:rPr>
          <w:b w:val="1"/>
        </w:rPr>
      </w:pPr>
    </w:p>
    <w:p>
      <w:pPr>
        <w:spacing w:lineRule="auto" w:line="216"/>
        <w:jc w:val="center"/>
        <w:rPr>
          <w:b w:val="1"/>
        </w:rPr>
      </w:pPr>
    </w:p>
    <w:p>
      <w:pPr>
        <w:numPr>
          <w:ilvl w:val="0"/>
          <w:numId w:val="46"/>
        </w:numPr>
        <w:spacing w:lineRule="auto" w:line="216" w:after="120"/>
        <w:jc w:val="center"/>
        <w:rPr>
          <w:b w:val="1"/>
        </w:rPr>
      </w:pPr>
      <w:r>
        <w:rPr>
          <w:b w:val="1"/>
        </w:rPr>
        <w:t>Minors</w:t>
      </w:r>
      <w:r>
        <w:rPr>
          <w:b w:val="1"/>
        </w:rPr>
        <w:t>,</w:t>
      </w:r>
      <w:r>
        <w:rPr>
          <w:b w:val="1"/>
        </w:rPr>
        <w:t xml:space="preserve"> by pronounced </w:t>
      </w:r>
      <w:r>
        <w:rPr>
          <w:b w:val="1"/>
        </w:rPr>
        <w:t xml:space="preserve">criminal sanctions, </w:t>
      </w:r>
      <w:r>
        <w:rPr>
          <w:b w:val="1"/>
        </w:rPr>
        <w:t>2008–2012</w:t>
      </w:r>
    </w:p>
    <w:p>
      <w:pPr>
        <w:pStyle w:val="P19"/>
        <w:spacing w:lineRule="auto" w:line="216" w:after="60"/>
        <w:ind w:left="0"/>
        <w:rPr>
          <w:b w:val="1"/>
          <w:sz w:val="18"/>
        </w:rPr>
      </w:pPr>
      <w:r>
        <w:rPr>
          <w:b w:val="1"/>
          <w:sz w:val="18"/>
        </w:rPr>
        <w:t>Republic of Serbia</w:t>
      </w:r>
    </w:p>
    <w:tbl>
      <w:tblPr>
        <w:tblStyle w:val="T2"/>
        <w:tblW w:w="0" w:type="auto"/>
        <w:jc w:val="center"/>
        <w:tblLayout w:type="fixed"/>
        <w:tblCellMar>
          <w:left w:w="28" w:type="dxa"/>
          <w:right w:w="28" w:type="dxa"/>
        </w:tblCellMar>
      </w:tblPr>
      <w:tblGrid/>
      <w:tr>
        <w:trPr>
          <w:wAfter w:w="0" w:type="dxa"/>
          <w:trHeight w:hRule="atLeast" w:val="284"/>
        </w:trPr>
        <w:tc>
          <w:tcPr>
            <w:tcW w:w="2835" w:type="dxa"/>
            <w:vMerge w:val="restart"/>
            <w:tcBorders>
              <w:top w:val="single" w:sz="4" w:space="0" w:shadow="0" w:frame="0"/>
              <w:left w:val="none" w:sz="0" w:space="0" w:shadow="0" w:frame="0"/>
              <w:right w:val="single" w:sz="4" w:space="0" w:shadow="0" w:frame="0"/>
            </w:tcBorders>
            <w:tcMar>
              <w:left w:w="57" w:type="dxa"/>
              <w:right w:w="57" w:type="dxa"/>
            </w:tcMar>
            <w:vAlign w:val="bottom"/>
          </w:tcPr>
          <w:p>
            <w:pPr>
              <w:spacing w:lineRule="auto" w:line="216"/>
              <w:ind w:right="-57"/>
              <w:rPr>
                <w:sz w:val="16"/>
              </w:rPr>
            </w:pPr>
            <w:r>
              <w:rPr>
                <w:sz w:val="16"/>
              </w:rPr>
              <w:t> </w:t>
            </w:r>
          </w:p>
          <w:p>
            <w:pPr>
              <w:spacing w:lineRule="auto" w:line="216"/>
              <w:ind w:right="-57"/>
              <w:rPr>
                <w:sz w:val="16"/>
              </w:rPr>
            </w:pPr>
            <w:r>
              <w:rPr>
                <w:sz w:val="16"/>
              </w:rPr>
              <w:t> </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2008</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2009</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2010</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2011</w:t>
            </w:r>
          </w:p>
        </w:tc>
        <w:tc>
          <w:tcPr>
            <w:tcW w:w="1474" w:type="dxa"/>
            <w:gridSpan w:val="2"/>
            <w:tcBorders>
              <w:top w:val="single" w:sz="4" w:space="0" w:shadow="0" w:frame="0"/>
              <w:left w:val="single" w:sz="4" w:space="0" w:shadow="0" w:frame="0"/>
              <w:bottom w:val="single" w:sz="4" w:space="0" w:shadow="0" w:frame="0"/>
              <w:right w:val="none" w:sz="0" w:space="0" w:shadow="0" w:frame="0"/>
            </w:tcBorders>
            <w:tcMar>
              <w:left w:w="57" w:type="dxa"/>
              <w:right w:w="57" w:type="dxa"/>
            </w:tcMar>
            <w:vAlign w:val="center"/>
          </w:tcPr>
          <w:p>
            <w:pPr>
              <w:spacing w:lineRule="auto" w:line="216"/>
              <w:jc w:val="center"/>
              <w:rPr>
                <w:sz w:val="16"/>
              </w:rPr>
            </w:pPr>
            <w:r>
              <w:rPr>
                <w:sz w:val="16"/>
              </w:rPr>
              <w:t>2012</w:t>
            </w:r>
          </w:p>
        </w:tc>
      </w:tr>
      <w:tr>
        <w:trPr>
          <w:wAfter w:w="0" w:type="dxa"/>
          <w:trHeight w:hRule="atLeast" w:val="284"/>
        </w:trPr>
        <w:tc>
          <w:tcPr>
            <w:tcW w:w="2835" w:type="dxa"/>
            <w:vMerge w:val="continue"/>
            <w:tcBorders>
              <w:left w:val="none" w:sz="0" w:space="0" w:shadow="0" w:frame="0"/>
              <w:bottom w:val="single" w:sz="4" w:space="0" w:shadow="0" w:frame="0"/>
              <w:right w:val="single" w:sz="4" w:space="0" w:shadow="0" w:frame="0"/>
            </w:tcBorders>
            <w:tcMar>
              <w:left w:w="57" w:type="dxa"/>
              <w:right w:w="57" w:type="dxa"/>
            </w:tcMar>
            <w:vAlign w:val="bottom"/>
          </w:tcPr>
          <w:p>
            <w:pPr>
              <w:spacing w:lineRule="auto" w:line="216"/>
              <w:ind w:right="-57"/>
              <w:rPr>
                <w:sz w:val="16"/>
              </w:rPr>
            </w:pPr>
          </w:p>
        </w:tc>
        <w:tc>
          <w:tcPr>
            <w:tcW w:w="737" w:type="dxa"/>
            <w:tcBorders>
              <w:top w:val="none" w:sz="0" w:space="0" w:shadow="0" w:frame="0"/>
              <w:left w:val="none" w:sz="0"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c>
          <w:tcPr>
            <w:tcW w:w="737"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c>
          <w:tcPr>
            <w:tcW w:w="737"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c>
          <w:tcPr>
            <w:tcW w:w="737"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c>
          <w:tcPr>
            <w:tcW w:w="737" w:type="dxa"/>
            <w:tcBorders>
              <w:top w:val="none" w:sz="0"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16" w:before="120" w:after="120"/>
              <w:jc w:val="center"/>
              <w:rPr>
                <w:sz w:val="16"/>
              </w:rPr>
            </w:pPr>
            <w:r>
              <w:rPr>
                <w:sz w:val="14"/>
              </w:rPr>
              <w:t>Number</w:t>
            </w:r>
          </w:p>
        </w:tc>
        <w:tc>
          <w:tcPr>
            <w:tcW w:w="737" w:type="dxa"/>
            <w:tcBorders>
              <w:top w:val="none" w:sz="0" w:space="0" w:shadow="0" w:frame="0"/>
              <w:left w:val="none" w:sz="0" w:space="0" w:shadow="0" w:frame="0"/>
              <w:bottom w:val="single" w:sz="4" w:space="0" w:shadow="0" w:frame="0"/>
              <w:right w:val="none" w:sz="0" w:space="0" w:shadow="0" w:frame="0"/>
            </w:tcBorders>
            <w:tcMar>
              <w:left w:w="57" w:type="dxa"/>
              <w:right w:w="57" w:type="dxa"/>
            </w:tcMar>
            <w:vAlign w:val="center"/>
          </w:tcPr>
          <w:p>
            <w:pPr>
              <w:spacing w:lineRule="auto" w:line="216" w:before="120" w:after="120"/>
              <w:jc w:val="center"/>
              <w:rPr>
                <w:sz w:val="16"/>
              </w:rPr>
            </w:pPr>
            <w:r>
              <w:rPr>
                <w:sz w:val="16"/>
              </w:rPr>
              <w:t>%</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rPr>
                <w:b w:val="1"/>
                <w:sz w:val="16"/>
              </w:rPr>
            </w:pP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37"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single" w:sz="4"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37" w:type="dxa"/>
            <w:tcBorders>
              <w:top w:val="single" w:sz="4"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single" w:sz="4"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rPr>
                <w:sz w:val="16"/>
              </w:rPr>
            </w:pPr>
            <w:r>
              <w:rPr>
                <w:b w:val="1"/>
                <w:sz w:val="16"/>
              </w:rPr>
              <w:t>Total</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2229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1902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1640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2290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b w:val="1"/>
                <w:sz w:val="16"/>
              </w:rPr>
            </w:pPr>
            <w:r>
              <w:rPr>
                <w:b w:val="1"/>
                <w:sz w:val="16"/>
              </w:rPr>
              <w:t>100,0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2302</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b w:val="1"/>
                <w:sz w:val="16"/>
              </w:rPr>
            </w:pPr>
            <w:r>
              <w:rPr>
                <w:b w:val="1"/>
                <w:sz w:val="16"/>
              </w:rPr>
              <w:t>100,0</w:t>
            </w:r>
          </w:p>
        </w:tc>
      </w:tr>
      <w:tr>
        <w:trPr>
          <w:wAfter w:w="0" w:type="dxa"/>
          <w:trHeight w:hRule="atLeast" w:val="122"/>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113"/>
              <w:rPr>
                <w:sz w:val="16"/>
              </w:rPr>
            </w:pPr>
            <w:r>
              <w:rPr>
                <w:sz w:val="16"/>
              </w:rPr>
              <w:t>Junior minors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992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44,5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791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41,6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670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40,9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979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42,8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984</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42,7</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227"/>
              <w:rPr>
                <w:sz w:val="16"/>
              </w:rPr>
            </w:pPr>
            <w:r>
              <w:rPr>
                <w:sz w:val="16"/>
              </w:rPr>
              <w:t>Educational measures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992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44,5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791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41,6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670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40,9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979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42,8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984</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42,7</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 xml:space="preserve">Warning and directing measures  </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468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21,0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363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19,1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316</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19,3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452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19,7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460</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20,0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 xml:space="preserve">Intensified supervision measures </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460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20,6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387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20,3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320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19,5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467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20,4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472</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20,5</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Institutional measures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52</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227"/>
              <w:rPr>
                <w:sz w:val="16"/>
              </w:rPr>
            </w:pPr>
            <w:r>
              <w:rPr>
                <w:sz w:val="16"/>
              </w:rPr>
              <w:t>Senior minors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1237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55,5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1111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58,4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970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59,1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1311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57,2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1318</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57,3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113"/>
              <w:rPr>
                <w:sz w:val="16"/>
              </w:rPr>
            </w:pPr>
            <w:r>
              <w:rPr>
                <w:sz w:val="16"/>
              </w:rPr>
              <w:t>Juvenile prison</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0,1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 xml:space="preserve">Over  5-10  years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0,0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 xml:space="preserve">2-5  years </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0,0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 xml:space="preserve">1-2  years (over 6 months to 2 years)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0,3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0,1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Educational measures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1220</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54,7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1092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57,4</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965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58,8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1298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56,7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1316</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57,2</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 xml:space="preserve">Warning and directing measures  </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479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21,5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471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24,8</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431</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26,3</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562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24,5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535</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23,2</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 xml:space="preserve">Intensified supervision measures </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684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30,7</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573</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30,1</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509</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31,0</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692</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30,2</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728</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31,6</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ind w:left="397"/>
              <w:rPr>
                <w:sz w:val="16"/>
              </w:rPr>
            </w:pPr>
            <w:r>
              <w:rPr>
                <w:sz w:val="16"/>
              </w:rPr>
              <w:t>Institutional measures</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57</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2,6</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48</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2,5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25</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1,5</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44</w:t>
            </w:r>
          </w:p>
        </w:tc>
        <w:tc>
          <w:tcPr>
            <w:tcW w:w="737" w:type="dxa"/>
            <w:tcBorders>
              <w:top w:val="none" w:sz="0" w:space="0" w:shadow="0" w:frame="0"/>
              <w:left w:val="none" w:sz="0" w:space="0" w:shadow="0" w:frame="0"/>
              <w:bottom w:val="none" w:sz="0" w:space="0" w:shadow="0" w:frame="0"/>
              <w:right w:val="single" w:sz="4" w:space="0" w:shadow="0" w:frame="0"/>
            </w:tcBorders>
            <w:tcMar>
              <w:left w:w="57" w:type="dxa"/>
              <w:right w:w="57" w:type="dxa"/>
            </w:tcMar>
            <w:vAlign w:val="bottom"/>
          </w:tcPr>
          <w:p>
            <w:pPr>
              <w:spacing w:lineRule="auto" w:line="216"/>
              <w:jc w:val="right"/>
              <w:rPr>
                <w:sz w:val="16"/>
              </w:rPr>
            </w:pPr>
            <w:r>
              <w:rPr>
                <w:sz w:val="16"/>
              </w:rPr>
              <w:t>1,9</w:t>
            </w:r>
          </w:p>
        </w:tc>
        <w:tc>
          <w:tcPr>
            <w:tcW w:w="737" w:type="dxa"/>
            <w:tcBorders>
              <w:top w:val="none" w:sz="0" w:space="0" w:shadow="0" w:frame="0"/>
              <w:left w:val="single" w:sz="4"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53</w:t>
            </w:r>
          </w:p>
        </w:tc>
        <w:tc>
          <w:tcPr>
            <w:tcW w:w="737" w:type="dxa"/>
            <w:tcBorders>
              <w:top w:val="none" w:sz="0" w:space="0" w:shadow="0" w:frame="0"/>
              <w:left w:val="none" w:sz="0" w:space="0" w:shadow="0" w:frame="0"/>
              <w:bottom w:val="none" w:sz="0" w:space="0" w:shadow="0" w:frame="0"/>
              <w:right w:val="none" w:sz="0" w:space="0" w:shadow="0" w:frame="0"/>
            </w:tcBorders>
            <w:tcMar>
              <w:left w:w="57" w:type="dxa"/>
              <w:right w:w="57" w:type="dxa"/>
            </w:tcMar>
            <w:vAlign w:val="bottom"/>
          </w:tcPr>
          <w:p>
            <w:pPr>
              <w:spacing w:lineRule="auto" w:line="216"/>
              <w:jc w:val="right"/>
              <w:rPr>
                <w:sz w:val="16"/>
              </w:rPr>
            </w:pPr>
            <w:r>
              <w:rPr>
                <w:sz w:val="16"/>
              </w:rPr>
              <w:t>2,3</w:t>
            </w:r>
          </w:p>
        </w:tc>
      </w:tr>
    </w:tbl>
    <w:p>
      <w:pPr>
        <w:spacing w:lineRule="auto" w:line="216"/>
        <w:jc w:val="center"/>
        <w:rPr>
          <w:b w:val="1"/>
        </w:rPr>
      </w:pPr>
    </w:p>
    <w:p>
      <w:pPr>
        <w:spacing w:lineRule="auto" w:line="216"/>
        <w:jc w:val="center"/>
        <w:rPr>
          <w:b w:val="1"/>
        </w:rPr>
      </w:pPr>
    </w:p>
    <w:p>
      <w:pPr>
        <w:pStyle w:val="P19"/>
        <w:numPr>
          <w:ilvl w:val="0"/>
          <w:numId w:val="46"/>
        </w:numPr>
        <w:spacing w:lineRule="auto" w:line="216" w:after="60"/>
        <w:jc w:val="center"/>
        <w:rPr>
          <w:b w:val="1"/>
        </w:rPr>
      </w:pPr>
      <w:r>
        <w:rPr>
          <w:b w:val="1"/>
        </w:rPr>
        <w:t xml:space="preserve">Minors - </w:t>
      </w:r>
      <w:r>
        <w:rPr>
          <w:b w:val="1"/>
        </w:rPr>
        <w:t>crime reports by criminal offences</w:t>
      </w:r>
      <w:r>
        <w:rPr>
          <w:b w:val="1"/>
        </w:rPr>
        <w:t>, 2012</w:t>
      </w:r>
    </w:p>
    <w:tbl>
      <w:tblPr>
        <w:tblStyle w:val="T2"/>
        <w:tblW w:w="0" w:type="auto"/>
        <w:jc w:val="center"/>
        <w:tblLayout w:type="autofit"/>
        <w:tblCellMar>
          <w:left w:w="28" w:type="dxa"/>
          <w:right w:w="28" w:type="dxa"/>
        </w:tblCellMar>
      </w:tblPr>
      <w:tblGrid/>
      <w:tr>
        <w:trPr>
          <w:wAfter w:w="0" w:type="dxa"/>
        </w:trPr>
        <w:tc>
          <w:tcPr>
            <w:tcW w:w="3742" w:type="dxa"/>
            <w:vMerge w:val="restart"/>
            <w:tcBorders>
              <w:top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6462" w:type="dxa"/>
            <w:gridSpan w:val="6"/>
            <w:tcBorders>
              <w:top w:val="single" w:sz="4" w:space="0" w:shadow="0" w:frame="0"/>
              <w:left w:val="single" w:sz="4" w:space="0" w:shadow="0" w:frame="0"/>
              <w:bottom w:val="single" w:sz="4" w:space="0" w:shadow="0" w:frame="0" w:color="000000"/>
            </w:tcBorders>
            <w:vAlign w:val="center"/>
          </w:tcPr>
          <w:p>
            <w:pPr>
              <w:spacing w:lineRule="auto" w:line="216" w:before="120" w:after="120"/>
              <w:jc w:val="center"/>
              <w:rPr>
                <w:sz w:val="16"/>
              </w:rPr>
            </w:pPr>
            <w:r>
              <w:rPr>
                <w:sz w:val="16"/>
              </w:rPr>
              <w:t>Republic of Serbia</w:t>
            </w:r>
          </w:p>
        </w:tc>
      </w:tr>
      <w:tr>
        <w:trPr>
          <w:wAfter w:w="0" w:type="dxa"/>
        </w:trPr>
        <w:tc>
          <w:tcPr>
            <w:tcW w:w="3742" w:type="dxa"/>
            <w:vMerge w:val="continue"/>
            <w:tcBorders>
              <w:bottom w:val="single" w:sz="4" w:space="0" w:shadow="0" w:frame="0"/>
              <w:right w:val="single" w:sz="4" w:space="0" w:shadow="0" w:frame="0"/>
            </w:tcBorders>
            <w:vAlign w:val="center"/>
          </w:tcPr>
          <w:p>
            <w:pPr>
              <w:spacing w:lineRule="auto" w:line="216"/>
              <w:jc w:val="center"/>
              <w:rPr>
                <w:b w:val="1"/>
                <w:sz w:val="16"/>
              </w:rPr>
            </w:pPr>
          </w:p>
        </w:tc>
        <w:tc>
          <w:tcPr>
            <w:tcW w:w="1077" w:type="dxa"/>
            <w:vMerge w:val="restart"/>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16"/>
              <w:jc w:val="center"/>
              <w:rPr>
                <w:sz w:val="16"/>
              </w:rPr>
            </w:pPr>
            <w:r>
              <w:rPr>
                <w:sz w:val="16"/>
              </w:rPr>
              <w:t>Total</w:t>
            </w:r>
          </w:p>
        </w:tc>
        <w:tc>
          <w:tcPr>
            <w:tcW w:w="2154" w:type="dxa"/>
            <w:gridSpan w:val="2"/>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28" w:before="120" w:after="120"/>
              <w:jc w:val="center"/>
              <w:rPr>
                <w:sz w:val="16"/>
              </w:rPr>
            </w:pPr>
            <w:r>
              <w:rPr>
                <w:sz w:val="16"/>
              </w:rPr>
              <w:t>Srbija – sever</w:t>
            </w:r>
          </w:p>
        </w:tc>
        <w:tc>
          <w:tcPr>
            <w:tcW w:w="3231" w:type="dxa"/>
            <w:gridSpan w:val="3"/>
            <w:tcBorders>
              <w:top w:val="single" w:sz="4" w:space="0" w:shadow="0" w:frame="0"/>
              <w:left w:val="none" w:sz="0" w:space="0" w:shadow="0" w:frame="0"/>
              <w:bottom w:val="single" w:sz="4" w:space="0" w:shadow="0" w:frame="0"/>
            </w:tcBorders>
            <w:vAlign w:val="center"/>
          </w:tcPr>
          <w:p>
            <w:pPr>
              <w:spacing w:lineRule="auto" w:line="228" w:before="120" w:after="120"/>
              <w:jc w:val="center"/>
              <w:rPr>
                <w:sz w:val="16"/>
              </w:rPr>
            </w:pPr>
            <w:r>
              <w:rPr>
                <w:sz w:val="16"/>
              </w:rPr>
              <w:t>Srbija – jug</w:t>
            </w:r>
          </w:p>
        </w:tc>
      </w:tr>
      <w:tr>
        <w:trPr>
          <w:wAfter w:w="0" w:type="dxa"/>
        </w:trPr>
        <w:tc>
          <w:tcPr>
            <w:tcW w:w="3742" w:type="dxa"/>
            <w:vMerge w:val="continue"/>
            <w:tcBorders>
              <w:bottom w:val="single" w:sz="4" w:space="0" w:shadow="0" w:frame="0"/>
              <w:right w:val="single" w:sz="4" w:space="0" w:shadow="0" w:frame="0"/>
            </w:tcBorders>
            <w:shd w:val="nil" w:color="auto" w:fill="auto"/>
            <w:vAlign w:val="center"/>
          </w:tcPr>
          <w:p>
            <w:pPr>
              <w:spacing w:lineRule="auto" w:line="216"/>
              <w:rPr>
                <w:b w:val="1"/>
                <w:sz w:val="16"/>
              </w:rPr>
            </w:pPr>
          </w:p>
        </w:tc>
        <w:tc>
          <w:tcPr>
            <w:tcW w:w="1077" w:type="dxa"/>
            <w:vMerge w:val="continue"/>
            <w:tcBorders>
              <w:top w:val="single" w:sz="4" w:space="0" w:shadow="0" w:frame="0"/>
              <w:left w:val="single" w:sz="4" w:space="0" w:shadow="0" w:frame="0"/>
              <w:bottom w:val="single" w:sz="4" w:space="0" w:shadow="0" w:frame="0" w:color="000000"/>
              <w:right w:val="single" w:sz="4" w:space="0" w:shadow="0" w:frame="0"/>
            </w:tcBorders>
            <w:shd w:val="nil" w:color="auto" w:fill="auto"/>
            <w:vAlign w:val="center"/>
          </w:tcPr>
          <w:p>
            <w:pPr>
              <w:spacing w:lineRule="auto" w:line="216"/>
              <w:rPr>
                <w:sz w:val="16"/>
              </w:rPr>
            </w:pPr>
          </w:p>
        </w:tc>
        <w:tc>
          <w:tcPr>
            <w:tcW w:w="107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Beogradski region</w:t>
            </w:r>
          </w:p>
        </w:tc>
        <w:tc>
          <w:tcPr>
            <w:tcW w:w="107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Region Vojvodine</w:t>
            </w:r>
          </w:p>
        </w:tc>
        <w:tc>
          <w:tcPr>
            <w:tcW w:w="107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Region Šumadije i Zapadne Srbije</w:t>
            </w:r>
          </w:p>
        </w:tc>
        <w:tc>
          <w:tcPr>
            <w:tcW w:w="107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Region Južne i Istočne Srbije</w:t>
            </w:r>
          </w:p>
        </w:tc>
        <w:tc>
          <w:tcPr>
            <w:tcW w:w="1077" w:type="dxa"/>
            <w:tcBorders>
              <w:top w:val="none" w:sz="0" w:space="0" w:shadow="0" w:frame="0"/>
              <w:left w:val="none" w:sz="0" w:space="0" w:shadow="0" w:frame="0"/>
              <w:bottom w:val="single" w:sz="4" w:space="0" w:shadow="0" w:frame="0"/>
            </w:tcBorders>
            <w:vAlign w:val="center"/>
          </w:tcPr>
          <w:p>
            <w:pPr>
              <w:spacing w:lineRule="auto" w:line="228"/>
              <w:jc w:val="center"/>
              <w:rPr>
                <w:sz w:val="16"/>
              </w:rPr>
            </w:pPr>
            <w:r>
              <w:rPr>
                <w:sz w:val="16"/>
              </w:rPr>
              <w:t>Region Kosovo i Metohija</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16"/>
              <w:rPr>
                <w:b w:val="1"/>
                <w:sz w:val="16"/>
              </w:rPr>
            </w:pPr>
          </w:p>
        </w:tc>
        <w:tc>
          <w:tcPr>
            <w:tcW w:w="1077" w:type="dxa"/>
            <w:tcBorders>
              <w:top w:val="single" w:sz="4" w:space="0" w:shadow="0" w:frame="0" w:color="000000"/>
              <w:left w:val="none" w:sz="0" w:space="0" w:shadow="0" w:frame="0"/>
              <w:right w:val="single" w:sz="4" w:space="0" w:shadow="0" w:frame="0"/>
            </w:tcBorders>
            <w:vAlign w:val="bottom"/>
          </w:tcPr>
          <w:p>
            <w:pPr>
              <w:spacing w:lineRule="auto" w:line="216"/>
              <w:jc w:val="right"/>
              <w:rPr>
                <w:b w:val="1"/>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16"/>
              <w:jc w:val="right"/>
              <w:rPr>
                <w:b w:val="1"/>
                <w:sz w:val="16"/>
              </w:rPr>
            </w:pPr>
          </w:p>
        </w:tc>
        <w:tc>
          <w:tcPr>
            <w:tcW w:w="1077" w:type="dxa"/>
            <w:tcBorders>
              <w:top w:val="single" w:sz="4" w:space="0" w:shadow="0" w:frame="0"/>
              <w:left w:val="none" w:sz="0" w:space="0" w:shadow="0" w:frame="0"/>
              <w:right w:val="single" w:sz="4" w:space="0" w:shadow="0" w:frame="0"/>
            </w:tcBorders>
            <w:vAlign w:val="bottom"/>
          </w:tcPr>
          <w:p>
            <w:pPr>
              <w:spacing w:lineRule="auto" w:line="216"/>
              <w:jc w:val="right"/>
              <w:rPr>
                <w:b w:val="1"/>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16"/>
              <w:jc w:val="right"/>
              <w:rPr>
                <w:b w:val="1"/>
                <w:sz w:val="16"/>
              </w:rPr>
            </w:pPr>
          </w:p>
        </w:tc>
        <w:tc>
          <w:tcPr>
            <w:tcW w:w="1077" w:type="dxa"/>
            <w:tcBorders>
              <w:top w:val="none" w:sz="0" w:space="0" w:shadow="0" w:frame="0"/>
              <w:left w:val="none" w:sz="0" w:space="0" w:shadow="0" w:frame="0"/>
              <w:right w:val="none" w:sz="0" w:space="0" w:shadow="0" w:frame="0"/>
            </w:tcBorders>
            <w:vAlign w:val="bottom"/>
          </w:tcPr>
          <w:p>
            <w:pPr>
              <w:spacing w:lineRule="auto" w:line="216"/>
              <w:jc w:val="right"/>
              <w:rPr>
                <w:b w:val="1"/>
                <w:sz w:val="16"/>
              </w:rPr>
            </w:pPr>
          </w:p>
        </w:tc>
        <w:tc>
          <w:tcPr>
            <w:tcW w:w="1077" w:type="dxa"/>
            <w:tcBorders>
              <w:top w:val="none" w:sz="0" w:space="0" w:shadow="0" w:frame="0"/>
              <w:left w:val="none" w:sz="0" w:space="0" w:shadow="0" w:frame="0"/>
              <w:right w:val="none" w:sz="0" w:space="0" w:shadow="0" w:frame="0"/>
            </w:tcBorders>
            <w:vAlign w:val="bottom"/>
          </w:tcPr>
          <w:p>
            <w:pPr>
              <w:spacing w:lineRule="auto" w:line="216"/>
              <w:jc w:val="right"/>
              <w:rPr>
                <w:b w:val="1"/>
                <w:sz w:val="16"/>
              </w:rPr>
            </w:pPr>
          </w:p>
        </w:tc>
      </w:tr>
      <w:tr>
        <w:trPr>
          <w:wAfter w:w="0" w:type="dxa"/>
        </w:trPr>
        <w:tc>
          <w:tcPr>
            <w:tcW w:w="3742" w:type="dxa"/>
            <w:tcBorders>
              <w:left w:val="none" w:sz="0" w:space="0" w:shadow="0" w:frame="0"/>
              <w:bottom w:val="none" w:sz="0" w:space="0" w:shadow="0" w:frame="0"/>
              <w:right w:val="single" w:sz="4" w:space="0" w:shadow="0" w:frame="0"/>
            </w:tcBorders>
          </w:tcPr>
          <w:p>
            <w:pPr>
              <w:spacing w:lineRule="auto" w:line="216"/>
              <w:rPr>
                <w:b w:val="1"/>
                <w:sz w:val="16"/>
              </w:rPr>
            </w:pPr>
            <w:r>
              <w:rPr>
                <w:b w:val="1"/>
                <w:sz w:val="16"/>
              </w:rPr>
              <w:t>TOTAL</w:t>
            </w:r>
          </w:p>
        </w:tc>
        <w:tc>
          <w:tcPr>
            <w:tcW w:w="1077" w:type="dxa"/>
            <w:tcBorders>
              <w:left w:val="none" w:sz="0" w:space="0" w:shadow="0" w:frame="0"/>
              <w:bottom w:val="none" w:sz="0" w:space="0" w:shadow="0" w:frame="0"/>
              <w:right w:val="single" w:sz="4" w:space="0" w:shadow="0" w:frame="0"/>
            </w:tcBorders>
            <w:vAlign w:val="bottom"/>
          </w:tcPr>
          <w:p>
            <w:pPr>
              <w:spacing w:lineRule="auto" w:line="216"/>
              <w:ind w:right="170"/>
              <w:jc w:val="right"/>
              <w:rPr>
                <w:b w:val="1"/>
                <w:sz w:val="16"/>
              </w:rPr>
            </w:pPr>
            <w:r>
              <w:rPr>
                <w:b w:val="1"/>
                <w:sz w:val="16"/>
              </w:rPr>
              <w:t>3913</w:t>
            </w:r>
          </w:p>
        </w:tc>
        <w:tc>
          <w:tcPr>
            <w:tcW w:w="1077" w:type="dxa"/>
            <w:tcBorders>
              <w:left w:val="single" w:sz="4"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368</w:t>
            </w:r>
          </w:p>
        </w:tc>
        <w:tc>
          <w:tcPr>
            <w:tcW w:w="1077" w:type="dxa"/>
            <w:tcBorders>
              <w:left w:val="none" w:sz="0" w:space="0" w:shadow="0" w:frame="0"/>
              <w:bottom w:val="none" w:sz="0" w:space="0" w:shadow="0" w:frame="0"/>
              <w:right w:val="single" w:sz="4" w:space="0" w:shadow="0" w:frame="0"/>
            </w:tcBorders>
            <w:vAlign w:val="bottom"/>
          </w:tcPr>
          <w:p>
            <w:pPr>
              <w:spacing w:lineRule="auto" w:line="216"/>
              <w:ind w:right="170"/>
              <w:jc w:val="right"/>
              <w:rPr>
                <w:b w:val="1"/>
                <w:sz w:val="16"/>
              </w:rPr>
            </w:pPr>
            <w:r>
              <w:rPr>
                <w:b w:val="1"/>
                <w:sz w:val="16"/>
              </w:rPr>
              <w:t>1154</w:t>
            </w:r>
          </w:p>
        </w:tc>
        <w:tc>
          <w:tcPr>
            <w:tcW w:w="1077" w:type="dxa"/>
            <w:tcBorders>
              <w:left w:val="single" w:sz="4"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1262</w:t>
            </w:r>
          </w:p>
        </w:tc>
        <w:tc>
          <w:tcPr>
            <w:tcW w:w="1077" w:type="dxa"/>
            <w:tcBorders>
              <w:left w:val="none" w:sz="0"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1129</w:t>
            </w:r>
          </w:p>
        </w:tc>
        <w:tc>
          <w:tcPr>
            <w:tcW w:w="1077" w:type="dxa"/>
            <w:tcBorders>
              <w:left w:val="none" w:sz="0"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sz w:val="16"/>
              </w:rPr>
            </w:pP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b w:val="1"/>
                <w:sz w:val="16"/>
              </w:rPr>
            </w:pPr>
            <w:r>
              <w:rPr>
                <w:b w:val="1"/>
                <w:sz w:val="16"/>
              </w:rPr>
              <w:t>Criminal offences against life and limb</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b w:val="1"/>
                <w:sz w:val="16"/>
              </w:rPr>
            </w:pPr>
            <w:r>
              <w:rPr>
                <w:b w:val="1"/>
                <w:sz w:val="16"/>
              </w:rPr>
              <w:t>451</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37</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b w:val="1"/>
                <w:sz w:val="16"/>
              </w:rPr>
            </w:pPr>
            <w:r>
              <w:rPr>
                <w:b w:val="1"/>
                <w:sz w:val="16"/>
              </w:rPr>
              <w:t>82</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214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118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Murder</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4</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3</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Serious murder</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2</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88"/>
              <w:rPr>
                <w:sz w:val="16"/>
              </w:rPr>
            </w:pPr>
            <w:r>
              <w:rPr>
                <w:sz w:val="16"/>
              </w:rPr>
              <w:t>Serious bodily injury</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148</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17</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31</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66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34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88"/>
              <w:rPr>
                <w:sz w:val="16"/>
              </w:rPr>
            </w:pPr>
            <w:r>
              <w:rPr>
                <w:sz w:val="16"/>
              </w:rPr>
              <w:t>Light bodily injury</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254</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10</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41</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128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75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Fighting</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30</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9</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5</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12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Imperiling with dangerous tools in fight or quarrel</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12</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4</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3</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color w:val="FF0000"/>
                <w:sz w:val="16"/>
              </w:rPr>
            </w:pPr>
            <w:r>
              <w:rPr>
                <w:sz w:val="16"/>
              </w:rPr>
              <w:t>Exposure to danger</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16"/>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16"/>
              <w:ind w:right="170"/>
              <w:jc w:val="right"/>
              <w:rPr>
                <w:sz w:val="16"/>
              </w:rPr>
            </w:pP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b w:val="1"/>
                <w:sz w:val="16"/>
              </w:rPr>
            </w:pPr>
            <w:r>
              <w:rPr>
                <w:b w:val="1"/>
                <w:sz w:val="16"/>
              </w:rPr>
              <w:t>Criminal offences against civil freedoms and rights</w:t>
            </w:r>
          </w:p>
        </w:tc>
        <w:tc>
          <w:tcPr>
            <w:tcW w:w="1077" w:type="dxa"/>
            <w:tcBorders>
              <w:top w:val="none" w:sz="0" w:space="0" w:shadow="0" w:frame="0"/>
              <w:left w:val="none" w:sz="0" w:space="0" w:shadow="0" w:frame="0"/>
              <w:right w:val="single" w:sz="4" w:space="0" w:shadow="0" w:frame="0"/>
            </w:tcBorders>
            <w:vAlign w:val="bottom"/>
          </w:tcPr>
          <w:p>
            <w:pPr>
              <w:spacing w:lineRule="auto" w:line="216"/>
              <w:ind w:right="170"/>
              <w:jc w:val="right"/>
              <w:rPr>
                <w:b w:val="1"/>
                <w:sz w:val="16"/>
              </w:rPr>
            </w:pPr>
            <w:r>
              <w:rPr>
                <w:b w:val="1"/>
                <w:sz w:val="16"/>
              </w:rPr>
              <w:t>81</w:t>
            </w:r>
          </w:p>
        </w:tc>
        <w:tc>
          <w:tcPr>
            <w:tcW w:w="1077" w:type="dxa"/>
            <w:tcBorders>
              <w:top w:val="none" w:sz="0" w:space="0" w:shadow="0" w:frame="0"/>
              <w:left w:val="single" w:sz="4" w:space="0" w:shadow="0" w:frame="0"/>
              <w:right w:val="none" w:sz="0" w:space="0" w:shadow="0" w:frame="0"/>
            </w:tcBorders>
            <w:vAlign w:val="bottom"/>
          </w:tcPr>
          <w:p>
            <w:pPr>
              <w:spacing w:lineRule="auto" w:line="216"/>
              <w:ind w:right="170"/>
              <w:jc w:val="right"/>
              <w:rPr>
                <w:b w:val="1"/>
                <w:sz w:val="16"/>
              </w:rPr>
            </w:pPr>
            <w:r>
              <w:rPr>
                <w:b w:val="1"/>
                <w:sz w:val="16"/>
              </w:rPr>
              <w:t>4</w:t>
            </w:r>
          </w:p>
        </w:tc>
        <w:tc>
          <w:tcPr>
            <w:tcW w:w="1077" w:type="dxa"/>
            <w:tcBorders>
              <w:top w:val="none" w:sz="0" w:space="0" w:shadow="0" w:frame="0"/>
              <w:left w:val="none" w:sz="0" w:space="0" w:shadow="0" w:frame="0"/>
              <w:right w:val="single" w:sz="4" w:space="0" w:shadow="0" w:frame="0"/>
            </w:tcBorders>
            <w:vAlign w:val="bottom"/>
          </w:tcPr>
          <w:p>
            <w:pPr>
              <w:spacing w:lineRule="auto" w:line="216"/>
              <w:ind w:right="170"/>
              <w:jc w:val="right"/>
              <w:rPr>
                <w:b w:val="1"/>
                <w:sz w:val="16"/>
              </w:rPr>
            </w:pPr>
            <w:r>
              <w:rPr>
                <w:b w:val="1"/>
                <w:sz w:val="16"/>
              </w:rPr>
              <w:t>15</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40</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22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16"/>
              <w:rPr>
                <w:sz w:val="16"/>
              </w:rPr>
            </w:pPr>
          </w:p>
        </w:tc>
        <w:tc>
          <w:tcPr>
            <w:tcW w:w="1077" w:type="dxa"/>
            <w:tcBorders>
              <w:left w:val="none" w:sz="0" w:space="0" w:shadow="0" w:frame="0"/>
              <w:right w:val="single" w:sz="4" w:space="0" w:shadow="0" w:frame="0"/>
            </w:tcBorders>
            <w:vAlign w:val="bottom"/>
          </w:tcPr>
          <w:p>
            <w:pPr>
              <w:spacing w:lineRule="auto" w:line="216"/>
              <w:ind w:right="170"/>
              <w:jc w:val="right"/>
              <w:rPr>
                <w:sz w:val="16"/>
              </w:rPr>
            </w:pPr>
          </w:p>
        </w:tc>
        <w:tc>
          <w:tcPr>
            <w:tcW w:w="1077" w:type="dxa"/>
            <w:tcBorders>
              <w:left w:val="single" w:sz="4" w:space="0" w:shadow="0" w:frame="0"/>
              <w:right w:val="none" w:sz="0" w:space="0" w:shadow="0" w:frame="0"/>
            </w:tcBorders>
            <w:vAlign w:val="bottom"/>
          </w:tcPr>
          <w:p>
            <w:pPr>
              <w:spacing w:lineRule="auto" w:line="216"/>
              <w:ind w:right="170"/>
              <w:jc w:val="right"/>
              <w:rPr>
                <w:sz w:val="16"/>
              </w:rPr>
            </w:pPr>
          </w:p>
        </w:tc>
        <w:tc>
          <w:tcPr>
            <w:tcW w:w="1077" w:type="dxa"/>
            <w:tcBorders>
              <w:left w:val="none" w:sz="0" w:space="0" w:shadow="0" w:frame="0"/>
              <w:right w:val="single" w:sz="4" w:space="0" w:shadow="0" w:frame="0"/>
            </w:tcBorders>
            <w:vAlign w:val="bottom"/>
          </w:tcPr>
          <w:p>
            <w:pPr>
              <w:spacing w:lineRule="auto" w:line="216"/>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16"/>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16"/>
              <w:rPr>
                <w:b w:val="1"/>
                <w:sz w:val="16"/>
              </w:rPr>
            </w:pPr>
            <w:r>
              <w:rPr>
                <w:b w:val="1"/>
                <w:sz w:val="16"/>
              </w:rPr>
              <w:t xml:space="preserve">Criminal offences against </w:t>
            </w:r>
            <w:r>
              <w:rPr>
                <w:b w:val="1"/>
                <w:sz w:val="16"/>
              </w:rPr>
              <w:t>honor and reputation</w:t>
            </w:r>
          </w:p>
        </w:tc>
        <w:tc>
          <w:tcPr>
            <w:tcW w:w="1077" w:type="dxa"/>
            <w:tcBorders>
              <w:left w:val="none" w:sz="0" w:space="0" w:shadow="0" w:frame="0"/>
              <w:right w:val="single" w:sz="4" w:space="0" w:shadow="0" w:frame="0"/>
            </w:tcBorders>
            <w:vAlign w:val="bottom"/>
          </w:tcPr>
          <w:p>
            <w:pPr>
              <w:spacing w:lineRule="auto" w:line="216"/>
              <w:ind w:right="170"/>
              <w:jc w:val="right"/>
              <w:rPr>
                <w:b w:val="1"/>
                <w:sz w:val="16"/>
              </w:rPr>
            </w:pPr>
            <w:r>
              <w:rPr>
                <w:b w:val="1"/>
                <w:sz w:val="16"/>
              </w:rPr>
              <w:t>15</w:t>
            </w:r>
          </w:p>
        </w:tc>
        <w:tc>
          <w:tcPr>
            <w:tcW w:w="1077" w:type="dxa"/>
            <w:tcBorders>
              <w:left w:val="single" w:sz="4" w:space="0" w:shadow="0" w:frame="0"/>
              <w:right w:val="none" w:sz="0" w:space="0" w:shadow="0" w:frame="0"/>
            </w:tcBorders>
            <w:vAlign w:val="bottom"/>
          </w:tcPr>
          <w:p>
            <w:pPr>
              <w:spacing w:lineRule="auto" w:line="216"/>
              <w:ind w:right="170"/>
              <w:jc w:val="right"/>
              <w:rPr>
                <w:b w:val="1"/>
                <w:sz w:val="16"/>
              </w:rPr>
            </w:pPr>
            <w:r>
              <w:rPr>
                <w:b w:val="1"/>
                <w:sz w:val="16"/>
              </w:rPr>
              <w:t>-</w:t>
            </w:r>
          </w:p>
        </w:tc>
        <w:tc>
          <w:tcPr>
            <w:tcW w:w="1077" w:type="dxa"/>
            <w:tcBorders>
              <w:left w:val="none" w:sz="0" w:space="0" w:shadow="0" w:frame="0"/>
              <w:right w:val="single" w:sz="4" w:space="0" w:shadow="0" w:frame="0"/>
            </w:tcBorders>
            <w:vAlign w:val="bottom"/>
          </w:tcPr>
          <w:p>
            <w:pPr>
              <w:spacing w:lineRule="auto" w:line="216"/>
              <w:ind w:right="170"/>
              <w:jc w:val="right"/>
              <w:rPr>
                <w:b w:val="1"/>
                <w:sz w:val="16"/>
              </w:rPr>
            </w:pPr>
            <w:r>
              <w:rPr>
                <w:b w:val="1"/>
                <w:sz w:val="16"/>
              </w:rPr>
              <w:t>4</w:t>
            </w:r>
          </w:p>
        </w:tc>
        <w:tc>
          <w:tcPr>
            <w:tcW w:w="1077" w:type="dxa"/>
            <w:tcBorders>
              <w:top w:val="none" w:sz="0" w:space="0" w:shadow="0" w:frame="0"/>
              <w:left w:val="single" w:sz="4" w:space="0" w:shadow="0" w:frame="0"/>
              <w:right w:val="none" w:sz="0" w:space="0" w:shadow="0" w:frame="0"/>
            </w:tcBorders>
            <w:vAlign w:val="bottom"/>
          </w:tcPr>
          <w:p>
            <w:pPr>
              <w:spacing w:lineRule="auto" w:line="216"/>
              <w:ind w:right="170"/>
              <w:jc w:val="right"/>
              <w:rPr>
                <w:b w:val="1"/>
                <w:sz w:val="16"/>
              </w:rPr>
            </w:pPr>
            <w:r>
              <w:rPr>
                <w:b w:val="1"/>
                <w:sz w:val="16"/>
              </w:rPr>
              <w:t>7</w:t>
            </w:r>
          </w:p>
        </w:tc>
        <w:tc>
          <w:tcPr>
            <w:tcW w:w="1077" w:type="dxa"/>
            <w:tcBorders>
              <w:top w:val="none" w:sz="0" w:space="0" w:shadow="0" w:frame="0"/>
              <w:left w:val="none" w:sz="0" w:space="0" w:shadow="0" w:frame="0"/>
              <w:right w:val="none" w:sz="0" w:space="0" w:shadow="0" w:frame="0"/>
            </w:tcBorders>
            <w:vAlign w:val="bottom"/>
          </w:tcPr>
          <w:p>
            <w:pPr>
              <w:spacing w:lineRule="auto" w:line="216"/>
              <w:ind w:right="170"/>
              <w:jc w:val="right"/>
              <w:rPr>
                <w:b w:val="1"/>
                <w:sz w:val="16"/>
              </w:rPr>
            </w:pPr>
            <w:r>
              <w:rPr>
                <w:b w:val="1"/>
                <w:sz w:val="16"/>
              </w:rPr>
              <w:t>4</w:t>
            </w:r>
          </w:p>
        </w:tc>
        <w:tc>
          <w:tcPr>
            <w:tcW w:w="1077" w:type="dxa"/>
            <w:tcBorders>
              <w:top w:val="none" w:sz="0" w:space="0" w:shadow="0" w:frame="0"/>
              <w:left w:val="none" w:sz="0" w:space="0" w:shadow="0" w:frame="0"/>
              <w:right w:val="none" w:sz="0" w:space="0" w:shadow="0" w:frame="0"/>
            </w:tcBorders>
            <w:vAlign w:val="bottom"/>
          </w:tcPr>
          <w:p>
            <w:pPr>
              <w:spacing w:lineRule="auto" w:line="216"/>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sz w:val="16"/>
              </w:rPr>
            </w:pP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Criminal offences against sexual freedom</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b w:val="1"/>
                <w:sz w:val="16"/>
              </w:rPr>
            </w:pPr>
            <w:r>
              <w:rPr>
                <w:b w:val="1"/>
                <w:sz w:val="16"/>
              </w:rPr>
              <w:t>44</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2</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b w:val="1"/>
                <w:sz w:val="16"/>
              </w:rPr>
            </w:pPr>
            <w:r>
              <w:rPr>
                <w:b w:val="1"/>
                <w:sz w:val="16"/>
              </w:rPr>
              <w:t>13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15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14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sz w:val="16"/>
              </w:rPr>
            </w:pPr>
            <w:r>
              <w:rPr>
                <w:sz w:val="16"/>
              </w:rPr>
              <w:t>Raping</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11</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3</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Intercourse with powerless person </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Intercourse with a child </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8</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3</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sz w:val="16"/>
              </w:rPr>
            </w:pPr>
            <w:r>
              <w:rPr>
                <w:sz w:val="16"/>
              </w:rPr>
              <w:t>Illegal sexual activities</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23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7</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9</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16"/>
              <w:rPr>
                <w:sz w:val="16"/>
              </w:rPr>
            </w:pPr>
            <w:r>
              <w:rPr>
                <w:sz w:val="16"/>
              </w:rPr>
              <w:t xml:space="preserve">Presenting and keeping pornographic materials and children abuse </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1</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170"/>
              <w:jc w:val="right"/>
              <w:rPr>
                <w:sz w:val="16"/>
              </w:rPr>
            </w:pPr>
            <w:r>
              <w:rPr>
                <w:sz w:val="16"/>
              </w:rPr>
              <w:t>...</w:t>
            </w:r>
          </w:p>
        </w:tc>
      </w:tr>
    </w:tbl>
    <w:p>
      <w:pPr>
        <w:pStyle w:val="P19"/>
        <w:spacing w:lineRule="auto" w:line="216" w:after="60"/>
        <w:ind w:firstLine="360" w:left="2520"/>
        <w:rPr>
          <w:b w:val="1"/>
        </w:rPr>
      </w:pPr>
      <w:r>
        <w:rPr>
          <w:b w:val="1"/>
        </w:rPr>
        <w:t xml:space="preserve">7. </w:t>
      </w:r>
      <w:r>
        <w:rPr>
          <w:b w:val="1"/>
        </w:rPr>
        <w:t xml:space="preserve">Minors - </w:t>
      </w:r>
      <w:r>
        <w:rPr>
          <w:b w:val="1"/>
        </w:rPr>
        <w:t>crime reports by criminal offences</w:t>
      </w:r>
      <w:r>
        <w:rPr>
          <w:b w:val="1"/>
        </w:rPr>
        <w:t xml:space="preserve">, 2012 </w:t>
      </w:r>
      <w:r>
        <w:t>(continued)</w:t>
      </w:r>
    </w:p>
    <w:tbl>
      <w:tblPr>
        <w:tblStyle w:val="T2"/>
        <w:tblW w:w="0" w:type="auto"/>
        <w:jc w:val="center"/>
        <w:tblLayout w:type="autofit"/>
        <w:tblCellMar>
          <w:left w:w="28" w:type="dxa"/>
          <w:right w:w="28" w:type="dxa"/>
        </w:tblCellMar>
      </w:tblPr>
      <w:tblGrid/>
      <w:tr>
        <w:trPr>
          <w:wAfter w:w="0" w:type="dxa"/>
        </w:trPr>
        <w:tc>
          <w:tcPr>
            <w:tcW w:w="3742" w:type="dxa"/>
            <w:vMerge w:val="restart"/>
            <w:tcBorders>
              <w:top w:val="single" w:sz="4" w:space="0" w:shadow="0" w:frame="0"/>
              <w:bottom w:val="single" w:sz="4" w:space="0" w:shadow="0" w:frame="0"/>
              <w:right w:val="single" w:sz="4" w:space="0" w:shadow="0" w:frame="0"/>
            </w:tcBorders>
            <w:vAlign w:val="center"/>
          </w:tcPr>
          <w:p>
            <w:pPr>
              <w:spacing w:lineRule="auto" w:line="228"/>
              <w:jc w:val="center"/>
              <w:rPr>
                <w:sz w:val="16"/>
              </w:rPr>
            </w:pPr>
          </w:p>
        </w:tc>
        <w:tc>
          <w:tcPr>
            <w:tcW w:w="6462" w:type="dxa"/>
            <w:gridSpan w:val="6"/>
            <w:tcBorders>
              <w:top w:val="single" w:sz="4" w:space="0" w:shadow="0" w:frame="0"/>
              <w:left w:val="single" w:sz="4" w:space="0" w:shadow="0" w:frame="0"/>
              <w:bottom w:val="single" w:sz="4" w:space="0" w:shadow="0" w:frame="0" w:color="000000"/>
            </w:tcBorders>
            <w:vAlign w:val="center"/>
          </w:tcPr>
          <w:p>
            <w:pPr>
              <w:spacing w:lineRule="auto" w:line="228" w:before="120" w:after="120"/>
              <w:jc w:val="center"/>
              <w:rPr>
                <w:sz w:val="16"/>
              </w:rPr>
            </w:pPr>
            <w:r>
              <w:rPr>
                <w:sz w:val="16"/>
              </w:rPr>
              <w:t>Republic of Serbia</w:t>
            </w:r>
          </w:p>
        </w:tc>
      </w:tr>
      <w:tr>
        <w:trPr>
          <w:wAfter w:w="0" w:type="dxa"/>
        </w:trPr>
        <w:tc>
          <w:tcPr>
            <w:tcW w:w="3742" w:type="dxa"/>
            <w:vMerge w:val="continue"/>
            <w:tcBorders>
              <w:bottom w:val="single" w:sz="4" w:space="0" w:shadow="0" w:frame="0"/>
              <w:right w:val="single" w:sz="4" w:space="0" w:shadow="0" w:frame="0"/>
            </w:tcBorders>
            <w:vAlign w:val="center"/>
          </w:tcPr>
          <w:p>
            <w:pPr>
              <w:spacing w:lineRule="auto" w:line="228"/>
              <w:jc w:val="center"/>
              <w:rPr>
                <w:b w:val="1"/>
                <w:sz w:val="16"/>
              </w:rPr>
            </w:pPr>
          </w:p>
        </w:tc>
        <w:tc>
          <w:tcPr>
            <w:tcW w:w="1077" w:type="dxa"/>
            <w:vMerge w:val="restart"/>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Total</w:t>
            </w:r>
          </w:p>
        </w:tc>
        <w:tc>
          <w:tcPr>
            <w:tcW w:w="2154" w:type="dxa"/>
            <w:gridSpan w:val="2"/>
            <w:tcBorders>
              <w:top w:val="single" w:sz="4" w:space="0" w:shadow="0" w:frame="0"/>
              <w:left w:val="none" w:sz="0" w:space="0" w:shadow="0" w:frame="0"/>
              <w:bottom w:val="single" w:sz="4" w:space="0" w:shadow="0" w:frame="0"/>
              <w:right w:val="single" w:sz="4" w:space="0" w:shadow="0" w:frame="0" w:color="000000"/>
            </w:tcBorders>
            <w:vAlign w:val="center"/>
          </w:tcPr>
          <w:p>
            <w:pPr>
              <w:spacing w:lineRule="auto" w:line="228" w:before="120" w:after="120"/>
              <w:jc w:val="center"/>
              <w:rPr>
                <w:sz w:val="16"/>
              </w:rPr>
            </w:pPr>
            <w:r>
              <w:rPr>
                <w:sz w:val="16"/>
              </w:rPr>
              <w:t>Srbija – sever</w:t>
            </w:r>
          </w:p>
        </w:tc>
        <w:tc>
          <w:tcPr>
            <w:tcW w:w="3231" w:type="dxa"/>
            <w:gridSpan w:val="3"/>
            <w:tcBorders>
              <w:top w:val="single" w:sz="4" w:space="0" w:shadow="0" w:frame="0"/>
              <w:left w:val="none" w:sz="0" w:space="0" w:shadow="0" w:frame="0"/>
              <w:bottom w:val="single" w:sz="4" w:space="0" w:shadow="0" w:frame="0"/>
            </w:tcBorders>
            <w:vAlign w:val="center"/>
          </w:tcPr>
          <w:p>
            <w:pPr>
              <w:spacing w:lineRule="auto" w:line="228" w:before="120" w:after="120"/>
              <w:jc w:val="center"/>
              <w:rPr>
                <w:sz w:val="16"/>
              </w:rPr>
            </w:pPr>
            <w:r>
              <w:rPr>
                <w:sz w:val="16"/>
              </w:rPr>
              <w:t>Srbija – jug</w:t>
            </w:r>
          </w:p>
        </w:tc>
      </w:tr>
      <w:tr>
        <w:trPr>
          <w:wAfter w:w="0" w:type="dxa"/>
        </w:trPr>
        <w:tc>
          <w:tcPr>
            <w:tcW w:w="3742" w:type="dxa"/>
            <w:vMerge w:val="continue"/>
            <w:tcBorders>
              <w:bottom w:val="single" w:sz="4" w:space="0" w:shadow="0" w:frame="0"/>
              <w:right w:val="single" w:sz="4" w:space="0" w:shadow="0" w:frame="0"/>
            </w:tcBorders>
            <w:shd w:val="nil" w:color="auto" w:fill="auto"/>
            <w:vAlign w:val="center"/>
          </w:tcPr>
          <w:p>
            <w:pPr>
              <w:spacing w:lineRule="auto" w:line="228"/>
              <w:rPr>
                <w:b w:val="1"/>
                <w:sz w:val="16"/>
              </w:rPr>
            </w:pPr>
          </w:p>
        </w:tc>
        <w:tc>
          <w:tcPr>
            <w:tcW w:w="1077" w:type="dxa"/>
            <w:vMerge w:val="continue"/>
            <w:tcBorders>
              <w:top w:val="single" w:sz="4" w:space="0" w:shadow="0" w:frame="0"/>
              <w:left w:val="single" w:sz="4" w:space="0" w:shadow="0" w:frame="0"/>
              <w:bottom w:val="single" w:sz="4" w:space="0" w:shadow="0" w:frame="0" w:color="000000"/>
              <w:right w:val="single" w:sz="4" w:space="0" w:shadow="0" w:frame="0"/>
            </w:tcBorders>
            <w:shd w:val="nil" w:color="auto" w:fill="auto"/>
            <w:vAlign w:val="center"/>
          </w:tcPr>
          <w:p>
            <w:pPr>
              <w:spacing w:lineRule="auto" w:line="228"/>
              <w:rPr>
                <w:sz w:val="16"/>
              </w:rPr>
            </w:pPr>
          </w:p>
        </w:tc>
        <w:tc>
          <w:tcPr>
            <w:tcW w:w="107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Beogradski region</w:t>
            </w:r>
          </w:p>
        </w:tc>
        <w:tc>
          <w:tcPr>
            <w:tcW w:w="107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Region Vojvodine</w:t>
            </w:r>
          </w:p>
        </w:tc>
        <w:tc>
          <w:tcPr>
            <w:tcW w:w="107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Region Šumadije i Zapadne Srbije</w:t>
            </w:r>
          </w:p>
        </w:tc>
        <w:tc>
          <w:tcPr>
            <w:tcW w:w="1077"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Region Južne i Istočne Srbije</w:t>
            </w:r>
          </w:p>
        </w:tc>
        <w:tc>
          <w:tcPr>
            <w:tcW w:w="1077" w:type="dxa"/>
            <w:tcBorders>
              <w:top w:val="none" w:sz="0" w:space="0" w:shadow="0" w:frame="0"/>
              <w:left w:val="none" w:sz="0" w:space="0" w:shadow="0" w:frame="0"/>
              <w:bottom w:val="single" w:sz="4" w:space="0" w:shadow="0" w:frame="0"/>
            </w:tcBorders>
            <w:vAlign w:val="center"/>
          </w:tcPr>
          <w:p>
            <w:pPr>
              <w:spacing w:lineRule="auto" w:line="228"/>
              <w:jc w:val="center"/>
              <w:rPr>
                <w:sz w:val="16"/>
              </w:rPr>
            </w:pPr>
            <w:r>
              <w:rPr>
                <w:sz w:val="16"/>
              </w:rPr>
              <w:t>Region Kosovo i Metohija</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b w:val="1"/>
                <w:sz w:val="16"/>
              </w:rPr>
            </w:pPr>
          </w:p>
        </w:tc>
        <w:tc>
          <w:tcPr>
            <w:tcW w:w="1077" w:type="dxa"/>
            <w:tcBorders>
              <w:top w:val="single" w:sz="4" w:space="0" w:shadow="0" w:frame="0" w:color="000000"/>
              <w:left w:val="none" w:sz="0" w:space="0" w:shadow="0" w:frame="0"/>
              <w:right w:val="single" w:sz="4" w:space="0" w:shadow="0" w:frame="0"/>
            </w:tcBorders>
            <w:vAlign w:val="bottom"/>
          </w:tcPr>
          <w:p>
            <w:pPr>
              <w:spacing w:lineRule="auto" w:line="233"/>
              <w:jc w:val="right"/>
              <w:rPr>
                <w:b w:val="1"/>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jc w:val="right"/>
              <w:rPr>
                <w:b w:val="1"/>
                <w:sz w:val="16"/>
              </w:rPr>
            </w:pPr>
          </w:p>
        </w:tc>
        <w:tc>
          <w:tcPr>
            <w:tcW w:w="1077" w:type="dxa"/>
            <w:tcBorders>
              <w:top w:val="single" w:sz="4" w:space="0" w:shadow="0" w:frame="0"/>
              <w:left w:val="none" w:sz="0" w:space="0" w:shadow="0" w:frame="0"/>
              <w:right w:val="single" w:sz="4" w:space="0" w:shadow="0" w:frame="0"/>
            </w:tcBorders>
            <w:vAlign w:val="bottom"/>
          </w:tcPr>
          <w:p>
            <w:pPr>
              <w:spacing w:lineRule="auto" w:line="233"/>
              <w:jc w:val="right"/>
              <w:rPr>
                <w:b w:val="1"/>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jc w:val="right"/>
              <w:rPr>
                <w:b w:val="1"/>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jc w:val="right"/>
              <w:rPr>
                <w:b w:val="1"/>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jc w:val="right"/>
              <w:rPr>
                <w:b w:val="1"/>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family and marriage</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73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7</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17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24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25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Cohabitation with a minor</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8</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Taking away of a minor</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Height w:hRule="atLeast" w:val="165"/>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Domestic violence</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60</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7</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19</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17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 xml:space="preserve">Criminal </w:t>
            </w:r>
            <w:r>
              <w:rPr>
                <w:b w:val="1"/>
                <w:sz w:val="16"/>
              </w:rPr>
              <w:t>offences against intellectual property</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5</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1</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2</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2</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property</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2238</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140</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744</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629</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725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Theft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490</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20</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157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154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159</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Aggravated theft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1073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61</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367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291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354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Armed robbery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4</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Banditry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165</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34</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66</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31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34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Peculation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6</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Fraud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5</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Petty theft, peculation and fraud</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148</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51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28</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66</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Taking away the property of another</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Destroying and damaging the property of another</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176</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2</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53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72</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49</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Illegal usage of somebody else’s vehicle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100</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7</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27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21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45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Extortion</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39</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10</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12</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6</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Concealment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24</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5</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economy</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18</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8</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human’s health</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156</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72</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24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38</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Illicit narcotics production, keeping and trafficking</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Illicit narcotics keeping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42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13</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14</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8</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Enabling narcotics consumption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107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58</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8</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27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Illicit narcotics production, keeping and trafficking</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2</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environment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17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6</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b w:val="1"/>
                <w:sz w:val="16"/>
              </w:rPr>
            </w:pPr>
            <w:r>
              <w:rPr>
                <w:b w:val="1"/>
                <w:sz w:val="16"/>
              </w:rPr>
              <w:t>Criminal offences against public safety of persons and property</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51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1</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12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25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13</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safety of public traffic</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125</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10</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31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47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37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Public traffic endangering</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120</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10</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30</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45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35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 xml:space="preserve">Endangering traffic by hazardous acts and means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4</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2</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2</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color w:val="FF0000"/>
                <w:sz w:val="16"/>
              </w:rPr>
            </w:pPr>
            <w:r>
              <w:rPr>
                <w:sz w:val="16"/>
              </w:rPr>
              <w:t>Non-providing help to person injured in an accident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constitutional order and security of the Republic of Serbia</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Provoking national, racial and religious hate and intolerance</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 xml:space="preserve">Criminal offences against public administration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7</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6</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3</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jurisdiction</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20</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2</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6</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public peace and order</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528</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83</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166</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183</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96</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Causing panic and disorder</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26</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color w:val="FF0000"/>
                <w:sz w:val="16"/>
              </w:rPr>
            </w:pPr>
            <w:r>
              <w:rPr>
                <w:sz w:val="16"/>
              </w:rPr>
              <w:t>Violent behavior</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415</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64</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120</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161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70</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 xml:space="preserve">Violent behavior on sport manifestation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7</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9</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9</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 xml:space="preserve">Illicit production, keeping of weapon and explosive substances trafficking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17</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4</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Act as a member of group that performs criminal offence</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Illegal state border crossing and human trafficking</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Help and danger signs abuse</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9</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9</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r>
              <w:rPr>
                <w:sz w:val="16"/>
              </w:rPr>
              <w:t>Desecration of grave</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13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5</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5</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legal transactions</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48</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2</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21</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18</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7</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Criminal offences against humanity and other properties protected by international law</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vAlign w:val="bottom"/>
          </w:tcPr>
          <w:p>
            <w:pPr>
              <w:spacing w:lineRule="auto" w:line="233"/>
              <w:rPr>
                <w:sz w:val="16"/>
              </w:rPr>
            </w:pPr>
            <w:r>
              <w:rPr>
                <w:sz w:val="16"/>
              </w:rPr>
              <w:t>Human trafficking</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3</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r>
              <w:rPr>
                <w:sz w:val="16"/>
              </w:rPr>
              <w:t>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r>
              <w:rPr>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1</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r>
              <w:rPr>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b w:val="1"/>
                <w:sz w:val="16"/>
              </w:rPr>
            </w:pPr>
            <w:r>
              <w:rPr>
                <w:b w:val="1"/>
                <w:sz w:val="16"/>
              </w:rPr>
              <w:t xml:space="preserve">Criminal offences against Serbian Armed Forces  </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b w:val="1"/>
                <w:sz w:val="16"/>
              </w:rPr>
            </w:pPr>
            <w:r>
              <w:rPr>
                <w:b w:val="1"/>
                <w:sz w:val="16"/>
              </w:rPr>
              <w:t>2</w:t>
            </w: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r>
        <w:trPr>
          <w:wAfter w:w="0" w:type="dxa"/>
        </w:trPr>
        <w:tc>
          <w:tcPr>
            <w:tcW w:w="3742" w:type="dxa"/>
            <w:tcBorders>
              <w:top w:val="none" w:sz="0" w:space="0" w:shadow="0" w:frame="0"/>
              <w:left w:val="none" w:sz="0" w:space="0" w:shadow="0" w:frame="0"/>
              <w:right w:val="single" w:sz="4" w:space="0" w:shadow="0" w:frame="0"/>
            </w:tcBorders>
          </w:tcPr>
          <w:p>
            <w:pPr>
              <w:spacing w:lineRule="auto" w:line="233"/>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single" w:sz="4" w:space="0" w:shadow="0" w:frame="0"/>
            </w:tcBorders>
            <w:vAlign w:val="bottom"/>
          </w:tcPr>
          <w:p>
            <w:pPr>
              <w:spacing w:lineRule="auto" w:line="233"/>
              <w:ind w:right="170"/>
              <w:jc w:val="right"/>
              <w:rPr>
                <w:sz w:val="16"/>
              </w:rPr>
            </w:pPr>
          </w:p>
        </w:tc>
        <w:tc>
          <w:tcPr>
            <w:tcW w:w="1077" w:type="dxa"/>
            <w:tcBorders>
              <w:top w:val="none" w:sz="0" w:space="0" w:shadow="0" w:frame="0"/>
              <w:left w:val="single" w:sz="4"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c>
          <w:tcPr>
            <w:tcW w:w="1077" w:type="dxa"/>
            <w:tcBorders>
              <w:top w:val="none" w:sz="0" w:space="0" w:shadow="0" w:frame="0"/>
              <w:left w:val="none" w:sz="0" w:space="0" w:shadow="0" w:frame="0"/>
              <w:right w:val="none" w:sz="0" w:space="0" w:shadow="0" w:frame="0"/>
            </w:tcBorders>
            <w:vAlign w:val="bottom"/>
          </w:tcPr>
          <w:p>
            <w:pPr>
              <w:spacing w:lineRule="auto" w:line="233"/>
              <w:ind w:right="170"/>
              <w:jc w:val="right"/>
              <w:rPr>
                <w:sz w:val="16"/>
              </w:rPr>
            </w:pPr>
          </w:p>
        </w:tc>
      </w:tr>
      <w:tr>
        <w:trPr>
          <w:wAfter w:w="0" w:type="dxa"/>
        </w:trPr>
        <w:tc>
          <w:tcPr>
            <w:tcW w:w="3742" w:type="dxa"/>
            <w:tcBorders>
              <w:top w:val="none" w:sz="0" w:space="0" w:shadow="0" w:frame="0"/>
              <w:left w:val="none" w:sz="0" w:space="0" w:shadow="0" w:frame="0"/>
              <w:bottom w:val="none" w:sz="0" w:space="0" w:shadow="0" w:frame="0"/>
              <w:right w:val="single" w:sz="4" w:space="0" w:shadow="0" w:frame="0"/>
            </w:tcBorders>
          </w:tcPr>
          <w:p>
            <w:pPr>
              <w:spacing w:lineRule="auto" w:line="233"/>
              <w:rPr>
                <w:b w:val="1"/>
                <w:sz w:val="16"/>
              </w:rPr>
            </w:pPr>
            <w:r>
              <w:rPr>
                <w:b w:val="1"/>
                <w:sz w:val="16"/>
              </w:rPr>
              <w:t>Other criminal offences (particular laws)</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ind w:right="170"/>
              <w:jc w:val="right"/>
              <w:rPr>
                <w:b w:val="1"/>
                <w:sz w:val="16"/>
              </w:rPr>
            </w:pPr>
            <w:r>
              <w:rPr>
                <w:b w:val="1"/>
                <w:sz w:val="16"/>
              </w:rPr>
              <w:t>13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ind w:right="170"/>
              <w:jc w:val="right"/>
              <w:rPr>
                <w:b w:val="1"/>
                <w:sz w:val="16"/>
              </w:rPr>
            </w:pPr>
            <w:r>
              <w:rPr>
                <w:b w:val="1"/>
                <w:sz w:val="16"/>
              </w:rPr>
              <w:t>-</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170"/>
              <w:jc w:val="right"/>
              <w:rPr>
                <w:b w:val="1"/>
                <w:sz w:val="16"/>
              </w:rPr>
            </w:pPr>
            <w:r>
              <w:rPr>
                <w:b w:val="1"/>
                <w:sz w:val="16"/>
              </w:rPr>
              <w:t>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170"/>
              <w:jc w:val="right"/>
              <w:rPr>
                <w:b w:val="1"/>
                <w:sz w:val="16"/>
              </w:rPr>
            </w:pPr>
            <w:r>
              <w:rPr>
                <w:b w:val="1"/>
                <w:sz w:val="16"/>
              </w:rPr>
              <w:t>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170"/>
              <w:jc w:val="right"/>
              <w:rPr>
                <w:b w:val="1"/>
                <w:sz w:val="16"/>
              </w:rPr>
            </w:pPr>
            <w:r>
              <w:rPr>
                <w:b w:val="1"/>
                <w:sz w:val="16"/>
              </w:rPr>
              <w:t>...</w:t>
            </w:r>
          </w:p>
        </w:tc>
      </w:tr>
    </w:tbl>
    <w:p>
      <w:pPr>
        <w:spacing w:after="40"/>
        <w:jc w:val="center"/>
        <w:rPr>
          <w:b w:val="1"/>
          <w:sz w:val="2"/>
        </w:rPr>
      </w:pPr>
    </w:p>
    <w:tbl>
      <w:tblPr>
        <w:tblStyle w:val="T2"/>
        <w:tblW w:w="0" w:type="auto"/>
        <w:jc w:val="center"/>
        <w:tblLayout w:type="autofit"/>
        <w:tblCellMar>
          <w:left w:w="28" w:type="dxa"/>
          <w:right w:w="28" w:type="dxa"/>
        </w:tblCellMar>
      </w:tblPr>
      <w:tblGrid/>
      <w:tr>
        <w:trPr>
          <w:wAfter w:w="0" w:type="dxa"/>
          <w:trHeight w:hRule="atLeast" w:val="225"/>
        </w:trPr>
        <w:tc>
          <w:tcPr>
            <w:tcW w:w="10219" w:type="dxa"/>
            <w:gridSpan w:val="11"/>
            <w:tcBorders>
              <w:left w:val="none" w:sz="0" w:space="0" w:shadow="0" w:frame="0"/>
              <w:bottom w:val="single" w:sz="4" w:space="0" w:shadow="0" w:frame="0"/>
            </w:tcBorders>
            <w:vAlign w:val="center"/>
          </w:tcPr>
          <w:p>
            <w:pPr>
              <w:pStyle w:val="P25"/>
              <w:numPr>
                <w:ilvl w:val="0"/>
                <w:numId w:val="0"/>
              </w:numPr>
              <w:spacing w:lineRule="auto" w:line="228" w:before="0" w:after="60"/>
              <w:ind w:firstLine="720"/>
              <w:rPr>
                <w:b w:val="1"/>
              </w:rPr>
            </w:pPr>
            <w:r>
              <w:t xml:space="preserve">8. Convicted juvenile perpetrators, by criminal offences, sex, attempt and pronounced criminal sanctions, 2012  </w:t>
            </w:r>
          </w:p>
          <w:p>
            <w:pPr>
              <w:spacing w:lineRule="auto" w:line="228"/>
              <w:rPr>
                <w:sz w:val="16"/>
              </w:rPr>
            </w:pPr>
            <w:r>
              <w:rPr>
                <w:b w:val="1"/>
                <w:sz w:val="18"/>
              </w:rPr>
              <w:t>Republic of Serbia</w:t>
            </w:r>
          </w:p>
        </w:tc>
      </w:tr>
      <w:tr>
        <w:trPr>
          <w:wAfter w:w="0" w:type="dxa"/>
          <w:trHeight w:hRule="atLeast" w:val="225"/>
        </w:trPr>
        <w:tc>
          <w:tcPr>
            <w:tcW w:w="2480" w:type="dxa"/>
            <w:vMerge w:val="restart"/>
            <w:tcBorders>
              <w:top w:val="single" w:sz="4" w:space="0" w:shadow="0" w:frame="0"/>
              <w:left w:val="none" w:sz="0" w:space="0" w:shadow="0" w:frame="0"/>
              <w:bottom w:val="single" w:sz="4" w:space="0" w:shadow="0" w:frame="0"/>
              <w:right w:val="none" w:sz="0" w:space="0" w:shadow="0" w:frame="0"/>
            </w:tcBorders>
            <w:vAlign w:val="center"/>
          </w:tcPr>
          <w:p>
            <w:pPr>
              <w:spacing w:lineRule="auto" w:line="228"/>
              <w:jc w:val="center"/>
              <w:rPr>
                <w:b w:val="1"/>
                <w:sz w:val="16"/>
              </w:rPr>
            </w:pPr>
          </w:p>
        </w:tc>
        <w:tc>
          <w:tcPr>
            <w:tcW w:w="2214"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80" w:after="80"/>
              <w:jc w:val="center"/>
              <w:rPr>
                <w:sz w:val="16"/>
              </w:rPr>
            </w:pPr>
            <w:r>
              <w:rPr>
                <w:sz w:val="16"/>
              </w:rPr>
              <w:t>Total</w:t>
            </w:r>
          </w:p>
        </w:tc>
        <w:tc>
          <w:tcPr>
            <w:tcW w:w="73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Juvenile prison</w:t>
            </w:r>
          </w:p>
        </w:tc>
        <w:tc>
          <w:tcPr>
            <w:tcW w:w="3228" w:type="dxa"/>
            <w:gridSpan w:val="4"/>
            <w:tcBorders>
              <w:top w:val="single" w:sz="4" w:space="0" w:shadow="0" w:frame="0"/>
              <w:left w:val="none" w:sz="0" w:space="0" w:shadow="0" w:frame="0"/>
              <w:bottom w:val="single" w:sz="4" w:space="0" w:shadow="0" w:frame="0"/>
              <w:right w:val="single" w:sz="4" w:space="0" w:shadow="0" w:frame="0"/>
            </w:tcBorders>
            <w:vAlign w:val="center"/>
          </w:tcPr>
          <w:p>
            <w:pPr>
              <w:spacing w:lineRule="auto" w:line="228" w:before="80" w:after="80"/>
              <w:jc w:val="center"/>
              <w:rPr>
                <w:sz w:val="16"/>
              </w:rPr>
            </w:pPr>
            <w:r>
              <w:rPr>
                <w:sz w:val="16"/>
              </w:rPr>
              <w:t>Educational measures</w:t>
            </w:r>
          </w:p>
        </w:tc>
        <w:tc>
          <w:tcPr>
            <w:tcW w:w="75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 xml:space="preserve">Security measures </w:t>
            </w:r>
          </w:p>
        </w:tc>
        <w:tc>
          <w:tcPr>
            <w:tcW w:w="801" w:type="dxa"/>
            <w:vMerge w:val="restart"/>
            <w:tcBorders>
              <w:top w:val="single" w:sz="4" w:space="0" w:shadow="0" w:frame="0"/>
              <w:left w:val="single" w:sz="4" w:space="0" w:shadow="0" w:frame="0"/>
              <w:bottom w:val="single" w:sz="4" w:space="0" w:shadow="0" w:frame="0"/>
            </w:tcBorders>
            <w:vAlign w:val="center"/>
          </w:tcPr>
          <w:p>
            <w:pPr>
              <w:spacing w:lineRule="auto" w:line="228"/>
              <w:jc w:val="center"/>
              <w:rPr>
                <w:sz w:val="16"/>
              </w:rPr>
            </w:pPr>
            <w:r>
              <w:rPr>
                <w:sz w:val="16"/>
              </w:rPr>
              <w:t xml:space="preserve">Previously convicted </w:t>
            </w:r>
          </w:p>
        </w:tc>
      </w:tr>
      <w:tr>
        <w:trPr>
          <w:wAfter w:w="0" w:type="dxa"/>
          <w:trHeight w:hRule="atLeast" w:val="675"/>
        </w:trPr>
        <w:tc>
          <w:tcPr>
            <w:tcW w:w="2480" w:type="dxa"/>
            <w:vMerge w:val="continue"/>
            <w:tcBorders>
              <w:top w:val="single" w:sz="4" w:space="0" w:shadow="0" w:frame="0"/>
              <w:left w:val="none" w:sz="0" w:space="0" w:shadow="0" w:frame="0"/>
              <w:bottom w:val="single" w:sz="4" w:space="0" w:shadow="0" w:frame="0"/>
              <w:right w:val="none" w:sz="0" w:space="0" w:shadow="0" w:frame="0"/>
            </w:tcBorders>
            <w:shd w:val="nil" w:color="auto" w:fill="auto"/>
            <w:vAlign w:val="center"/>
          </w:tcPr>
          <w:p>
            <w:pPr>
              <w:spacing w:lineRule="auto" w:line="228"/>
              <w:rPr>
                <w:b w:val="1"/>
                <w:sz w:val="16"/>
              </w:rPr>
            </w:pPr>
          </w:p>
        </w:tc>
        <w:tc>
          <w:tcPr>
            <w:tcW w:w="73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all</w:t>
            </w:r>
          </w:p>
        </w:tc>
        <w:tc>
          <w:tcPr>
            <w:tcW w:w="73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Females</w:t>
            </w:r>
          </w:p>
        </w:tc>
        <w:tc>
          <w:tcPr>
            <w:tcW w:w="73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 xml:space="preserve">Attempt </w:t>
            </w:r>
          </w:p>
        </w:tc>
        <w:tc>
          <w:tcPr>
            <w:tcW w:w="737"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28"/>
              <w:rPr>
                <w:sz w:val="16"/>
              </w:rPr>
            </w:pPr>
          </w:p>
        </w:tc>
        <w:tc>
          <w:tcPr>
            <w:tcW w:w="73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all</w:t>
            </w:r>
          </w:p>
        </w:tc>
        <w:tc>
          <w:tcPr>
            <w:tcW w:w="759"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warning and directing measures</w:t>
            </w:r>
          </w:p>
        </w:tc>
        <w:tc>
          <w:tcPr>
            <w:tcW w:w="866"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 xml:space="preserve">Intensified supervision measures </w:t>
            </w:r>
          </w:p>
        </w:tc>
        <w:tc>
          <w:tcPr>
            <w:tcW w:w="866"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r>
              <w:rPr>
                <w:sz w:val="16"/>
              </w:rPr>
              <w:t xml:space="preserve">Institutional measures </w:t>
            </w:r>
          </w:p>
        </w:tc>
        <w:tc>
          <w:tcPr>
            <w:tcW w:w="75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28"/>
              <w:rPr>
                <w:sz w:val="16"/>
              </w:rPr>
            </w:pPr>
          </w:p>
        </w:tc>
        <w:tc>
          <w:tcPr>
            <w:tcW w:w="801" w:type="dxa"/>
            <w:vMerge w:val="continue"/>
            <w:tcBorders>
              <w:top w:val="single" w:sz="4" w:space="0" w:shadow="0" w:frame="0"/>
              <w:left w:val="single" w:sz="4" w:space="0" w:shadow="0" w:frame="0"/>
              <w:bottom w:val="single" w:sz="4" w:space="0" w:shadow="0" w:frame="0"/>
            </w:tcBorders>
            <w:vAlign w:val="center"/>
          </w:tcPr>
          <w:p>
            <w:pPr>
              <w:spacing w:lineRule="auto" w:line="228"/>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caps w:val="1"/>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ind w:right="113"/>
              <w:jc w:val="right"/>
              <w:rPr>
                <w:b w:val="1"/>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caps w:val="1"/>
                <w:sz w:val="16"/>
              </w:rPr>
              <w:t>TOTAL</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2302</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122</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2300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995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1200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105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121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304</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life and limb</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263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10</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262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123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134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26</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Murder</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Serious murder</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Serious bodily injury</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99</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Light bodily injury</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127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127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15</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Fighting</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25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Imperiling with dangerous tools in fight or quarrel</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civil freedoms and rights</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47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47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18</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27</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7</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sexual freedom</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Raping</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Intercourse with a child</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Illegal sexual activities</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Presenting and keeping pornographic materials and children abuse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family and marriage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7</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Domestic violence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28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 xml:space="preserve">Criminal offences against intellectual property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property</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1316</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60</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90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1315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545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687</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83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22</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210</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Theft</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215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215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32</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Aggravated theft</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746</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746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283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400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123</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Armed robbery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Banditry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149</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148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23</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Peculation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Fraud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Petty theft, peculation and fraud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36</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Taking away the property of another</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Destroying and damaging the property of another</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67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Illegal usage of somebody else’s vehicle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57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28</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Extortion</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21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Concealment</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economy</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human’s health</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146</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9</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146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59</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85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70</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Illicit narcotics production, keeping and trafficking</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78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78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29</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47</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42</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Illicit narcotics keeping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55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23</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4</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Enabling narcotics consumption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8</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5</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environment</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8</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public safety of persons and property</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8</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Criminal offences against safety of public traffic</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67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b w:val="1"/>
                <w:sz w:val="16"/>
              </w:rPr>
            </w:pPr>
            <w:r>
              <w:rPr>
                <w:b w:val="1"/>
                <w:sz w:val="16"/>
              </w:rPr>
              <w:t>3</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Public traffic endangering</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65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65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29</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3</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 xml:space="preserve">Endangering traffic by hazardous acts and means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right w:val="single" w:sz="4" w:space="0" w:shadow="0" w:frame="0"/>
            </w:tcBorders>
          </w:tcPr>
          <w:p>
            <w:pPr>
              <w:spacing w:lineRule="auto" w:line="228"/>
              <w:rPr>
                <w:color w:val="FF0000"/>
                <w:sz w:val="16"/>
              </w:rPr>
            </w:pPr>
            <w:r>
              <w:rPr>
                <w:sz w:val="16"/>
              </w:rPr>
              <w:t>Non-providing help to person injured in an accident</w:t>
            </w:r>
          </w:p>
        </w:tc>
        <w:tc>
          <w:tcPr>
            <w:tcW w:w="738" w:type="dxa"/>
            <w:tcBorders>
              <w:top w:val="none" w:sz="0" w:space="0" w:shadow="0" w:frame="0"/>
              <w:left w:val="single" w:sz="4" w:space="0" w:shadow="0" w:frame="0"/>
              <w:right w:val="none" w:sz="0" w:space="0" w:shadow="0" w:frame="0"/>
            </w:tcBorders>
            <w:vAlign w:val="bottom"/>
          </w:tcPr>
          <w:p>
            <w:pPr>
              <w:spacing w:lineRule="auto" w:line="228"/>
              <w:jc w:val="right"/>
              <w:rPr>
                <w:sz w:val="16"/>
              </w:rPr>
            </w:pPr>
            <w:r>
              <w:rPr>
                <w:sz w:val="16"/>
              </w:rPr>
              <w:t>1</w:t>
            </w:r>
          </w:p>
        </w:tc>
        <w:tc>
          <w:tcPr>
            <w:tcW w:w="738"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w:t>
            </w:r>
          </w:p>
        </w:tc>
        <w:tc>
          <w:tcPr>
            <w:tcW w:w="738"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w:t>
            </w:r>
          </w:p>
        </w:tc>
        <w:tc>
          <w:tcPr>
            <w:tcW w:w="737"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1</w:t>
            </w:r>
          </w:p>
        </w:tc>
        <w:tc>
          <w:tcPr>
            <w:tcW w:w="759"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1</w:t>
            </w:r>
          </w:p>
        </w:tc>
        <w:tc>
          <w:tcPr>
            <w:tcW w:w="866"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w:t>
            </w:r>
          </w:p>
        </w:tc>
        <w:tc>
          <w:tcPr>
            <w:tcW w:w="866"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w:t>
            </w:r>
          </w:p>
        </w:tc>
        <w:tc>
          <w:tcPr>
            <w:tcW w:w="759"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w:t>
            </w:r>
          </w:p>
        </w:tc>
        <w:tc>
          <w:tcPr>
            <w:tcW w:w="801" w:type="dxa"/>
            <w:tcBorders>
              <w:top w:val="none" w:sz="0" w:space="0" w:shadow="0" w:frame="0"/>
              <w:left w:val="none" w:sz="0" w:space="0" w:shadow="0" w:frame="0"/>
              <w:right w:val="none" w:sz="0" w:space="0" w:shadow="0" w:frame="0"/>
            </w:tcBorders>
            <w:vAlign w:val="bottom"/>
          </w:tcPr>
          <w:p>
            <w:pPr>
              <w:spacing w:lineRule="auto" w:line="228"/>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tcBorders>
          </w:tcPr>
          <w:p>
            <w:pPr>
              <w:spacing w:lineRule="auto" w:line="228"/>
              <w:rPr>
                <w:sz w:val="16"/>
              </w:rPr>
            </w:pPr>
          </w:p>
        </w:tc>
        <w:tc>
          <w:tcPr>
            <w:tcW w:w="738" w:type="dxa"/>
            <w:tcBorders>
              <w:top w:val="none" w:sz="0" w:space="0" w:shadow="0" w:frame="0"/>
              <w:bottom w:val="none" w:sz="0" w:space="0" w:shadow="0" w:frame="0"/>
            </w:tcBorders>
            <w:vAlign w:val="bottom"/>
          </w:tcPr>
          <w:p>
            <w:pPr>
              <w:spacing w:lineRule="auto" w:line="228"/>
              <w:jc w:val="right"/>
              <w:rPr>
                <w:sz w:val="16"/>
              </w:rPr>
            </w:pPr>
          </w:p>
        </w:tc>
        <w:tc>
          <w:tcPr>
            <w:tcW w:w="738" w:type="dxa"/>
            <w:tcBorders>
              <w:top w:val="none" w:sz="0" w:space="0" w:shadow="0" w:frame="0"/>
              <w:bottom w:val="none" w:sz="0" w:space="0" w:shadow="0" w:frame="0"/>
            </w:tcBorders>
            <w:vAlign w:val="bottom"/>
          </w:tcPr>
          <w:p>
            <w:pPr>
              <w:spacing w:lineRule="auto" w:line="228"/>
              <w:jc w:val="right"/>
              <w:rPr>
                <w:sz w:val="16"/>
              </w:rPr>
            </w:pPr>
          </w:p>
        </w:tc>
        <w:tc>
          <w:tcPr>
            <w:tcW w:w="738" w:type="dxa"/>
            <w:tcBorders>
              <w:top w:val="none" w:sz="0" w:space="0" w:shadow="0" w:frame="0"/>
              <w:bottom w:val="none" w:sz="0" w:space="0" w:shadow="0" w:frame="0"/>
            </w:tcBorders>
            <w:vAlign w:val="bottom"/>
          </w:tcPr>
          <w:p>
            <w:pPr>
              <w:spacing w:lineRule="auto" w:line="228"/>
              <w:jc w:val="right"/>
              <w:rPr>
                <w:sz w:val="16"/>
              </w:rPr>
            </w:pPr>
          </w:p>
        </w:tc>
        <w:tc>
          <w:tcPr>
            <w:tcW w:w="737" w:type="dxa"/>
            <w:tcBorders>
              <w:top w:val="none" w:sz="0" w:space="0" w:shadow="0" w:frame="0"/>
              <w:bottom w:val="none" w:sz="0" w:space="0" w:shadow="0" w:frame="0"/>
            </w:tcBorders>
            <w:vAlign w:val="bottom"/>
          </w:tcPr>
          <w:p>
            <w:pPr>
              <w:spacing w:lineRule="auto" w:line="228"/>
              <w:jc w:val="right"/>
              <w:rPr>
                <w:sz w:val="16"/>
              </w:rPr>
            </w:pPr>
          </w:p>
        </w:tc>
        <w:tc>
          <w:tcPr>
            <w:tcW w:w="737" w:type="dxa"/>
            <w:tcBorders>
              <w:top w:val="none" w:sz="0" w:space="0" w:shadow="0" w:frame="0"/>
              <w:bottom w:val="none" w:sz="0" w:space="0" w:shadow="0" w:frame="0"/>
            </w:tcBorders>
            <w:vAlign w:val="bottom"/>
          </w:tcPr>
          <w:p>
            <w:pPr>
              <w:spacing w:lineRule="auto" w:line="228"/>
              <w:jc w:val="right"/>
              <w:rPr>
                <w:sz w:val="16"/>
              </w:rPr>
            </w:pPr>
          </w:p>
        </w:tc>
        <w:tc>
          <w:tcPr>
            <w:tcW w:w="759" w:type="dxa"/>
            <w:tcBorders>
              <w:top w:val="none" w:sz="0" w:space="0" w:shadow="0" w:frame="0"/>
              <w:bottom w:val="none" w:sz="0" w:space="0" w:shadow="0" w:frame="0"/>
            </w:tcBorders>
            <w:vAlign w:val="bottom"/>
          </w:tcPr>
          <w:p>
            <w:pPr>
              <w:spacing w:lineRule="auto" w:line="228"/>
              <w:jc w:val="right"/>
              <w:rPr>
                <w:sz w:val="16"/>
              </w:rPr>
            </w:pPr>
          </w:p>
        </w:tc>
        <w:tc>
          <w:tcPr>
            <w:tcW w:w="866" w:type="dxa"/>
            <w:tcBorders>
              <w:top w:val="none" w:sz="0" w:space="0" w:shadow="0" w:frame="0"/>
              <w:bottom w:val="none" w:sz="0" w:space="0" w:shadow="0" w:frame="0"/>
            </w:tcBorders>
            <w:vAlign w:val="bottom"/>
          </w:tcPr>
          <w:p>
            <w:pPr>
              <w:spacing w:lineRule="auto" w:line="228"/>
              <w:jc w:val="right"/>
              <w:rPr>
                <w:sz w:val="16"/>
              </w:rPr>
            </w:pPr>
          </w:p>
        </w:tc>
        <w:tc>
          <w:tcPr>
            <w:tcW w:w="866" w:type="dxa"/>
            <w:tcBorders>
              <w:top w:val="none" w:sz="0" w:space="0" w:shadow="0" w:frame="0"/>
              <w:bottom w:val="none" w:sz="0" w:space="0" w:shadow="0" w:frame="0"/>
            </w:tcBorders>
            <w:vAlign w:val="bottom"/>
          </w:tcPr>
          <w:p>
            <w:pPr>
              <w:spacing w:lineRule="auto" w:line="228"/>
              <w:jc w:val="right"/>
              <w:rPr>
                <w:sz w:val="16"/>
              </w:rPr>
            </w:pPr>
          </w:p>
        </w:tc>
        <w:tc>
          <w:tcPr>
            <w:tcW w:w="759" w:type="dxa"/>
            <w:tcBorders>
              <w:top w:val="none" w:sz="0" w:space="0" w:shadow="0" w:frame="0"/>
              <w:bottom w:val="none" w:sz="0" w:space="0" w:shadow="0" w:frame="0"/>
            </w:tcBorders>
            <w:vAlign w:val="bottom"/>
          </w:tcPr>
          <w:p>
            <w:pPr>
              <w:spacing w:lineRule="auto" w:line="228"/>
              <w:jc w:val="right"/>
              <w:rPr>
                <w:sz w:val="16"/>
              </w:rPr>
            </w:pPr>
          </w:p>
        </w:tc>
        <w:tc>
          <w:tcPr>
            <w:tcW w:w="801" w:type="dxa"/>
            <w:tcBorders>
              <w:top w:val="none" w:sz="0" w:space="0" w:shadow="0" w:frame="0"/>
              <w:bottom w:val="none" w:sz="0" w:space="0" w:shadow="0" w:frame="0"/>
              <w:right w:val="none" w:sz="0" w:space="0" w:shadow="0" w:frame="0"/>
            </w:tcBorders>
            <w:vAlign w:val="bottom"/>
          </w:tcPr>
          <w:p>
            <w:pPr>
              <w:spacing w:lineRule="auto" w:line="228"/>
              <w:jc w:val="right"/>
              <w:rPr>
                <w:sz w:val="16"/>
              </w:rPr>
            </w:pPr>
          </w:p>
        </w:tc>
      </w:tr>
      <w:tr>
        <w:trPr>
          <w:wAfter w:w="0" w:type="dxa"/>
          <w:trHeight w:hRule="atLeast" w:val="225"/>
        </w:trPr>
        <w:tc>
          <w:tcPr>
            <w:tcW w:w="10219" w:type="dxa"/>
            <w:gridSpan w:val="11"/>
            <w:tcBorders>
              <w:left w:val="none" w:sz="0" w:space="0" w:shadow="0" w:frame="0"/>
              <w:bottom w:val="single" w:sz="4" w:space="0" w:shadow="0" w:frame="0"/>
            </w:tcBorders>
            <w:vAlign w:val="center"/>
          </w:tcPr>
          <w:p>
            <w:pPr>
              <w:pStyle w:val="P25"/>
              <w:numPr>
                <w:ilvl w:val="0"/>
                <w:numId w:val="0"/>
              </w:numPr>
              <w:spacing w:lineRule="auto" w:line="235" w:before="0" w:after="60"/>
              <w:ind w:firstLine="720"/>
              <w:rPr>
                <w:b w:val="1"/>
              </w:rPr>
            </w:pPr>
            <w:r>
              <w:t xml:space="preserve">8. Convicted juvenile perpetrators, by criminal offences, sex, attempt and pronounced criminal sanctions, 2012  </w:t>
            </w:r>
            <w:r>
              <w:rPr>
                <w:b w:val="0"/>
              </w:rPr>
              <w:t>(continued)</w:t>
            </w:r>
          </w:p>
          <w:p>
            <w:pPr>
              <w:spacing w:lineRule="auto" w:line="235"/>
              <w:rPr>
                <w:sz w:val="16"/>
              </w:rPr>
            </w:pPr>
            <w:r>
              <w:rPr>
                <w:b w:val="1"/>
                <w:sz w:val="18"/>
              </w:rPr>
              <w:t>Republic of Serbia</w:t>
            </w:r>
          </w:p>
        </w:tc>
      </w:tr>
      <w:tr>
        <w:trPr>
          <w:wAfter w:w="0" w:type="dxa"/>
          <w:trHeight w:hRule="atLeast" w:val="225"/>
        </w:trPr>
        <w:tc>
          <w:tcPr>
            <w:tcW w:w="2480" w:type="dxa"/>
            <w:vMerge w:val="restart"/>
            <w:tcBorders>
              <w:top w:val="single" w:sz="4" w:space="0" w:shadow="0" w:frame="0"/>
              <w:left w:val="none" w:sz="0" w:space="0" w:shadow="0" w:frame="0"/>
              <w:bottom w:val="single" w:sz="4" w:space="0" w:shadow="0" w:frame="0"/>
              <w:right w:val="none" w:sz="0" w:space="0" w:shadow="0" w:frame="0"/>
            </w:tcBorders>
            <w:vAlign w:val="center"/>
          </w:tcPr>
          <w:p>
            <w:pPr>
              <w:spacing w:lineRule="auto" w:line="235"/>
              <w:jc w:val="center"/>
              <w:rPr>
                <w:b w:val="1"/>
                <w:sz w:val="16"/>
              </w:rPr>
            </w:pPr>
          </w:p>
        </w:tc>
        <w:tc>
          <w:tcPr>
            <w:tcW w:w="2214"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35" w:before="80" w:after="80"/>
              <w:jc w:val="center"/>
              <w:rPr>
                <w:sz w:val="16"/>
              </w:rPr>
            </w:pPr>
            <w:r>
              <w:rPr>
                <w:sz w:val="16"/>
              </w:rPr>
              <w:t>Total</w:t>
            </w:r>
          </w:p>
        </w:tc>
        <w:tc>
          <w:tcPr>
            <w:tcW w:w="73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35"/>
              <w:jc w:val="center"/>
              <w:rPr>
                <w:sz w:val="16"/>
              </w:rPr>
            </w:pPr>
            <w:r>
              <w:rPr>
                <w:sz w:val="16"/>
              </w:rPr>
              <w:t>Juvenile prison</w:t>
            </w:r>
          </w:p>
        </w:tc>
        <w:tc>
          <w:tcPr>
            <w:tcW w:w="3228" w:type="dxa"/>
            <w:gridSpan w:val="4"/>
            <w:tcBorders>
              <w:top w:val="single" w:sz="4" w:space="0" w:shadow="0" w:frame="0"/>
              <w:left w:val="none" w:sz="0" w:space="0" w:shadow="0" w:frame="0"/>
              <w:bottom w:val="single" w:sz="4" w:space="0" w:shadow="0" w:frame="0"/>
              <w:right w:val="single" w:sz="4" w:space="0" w:shadow="0" w:frame="0"/>
            </w:tcBorders>
            <w:vAlign w:val="center"/>
          </w:tcPr>
          <w:p>
            <w:pPr>
              <w:spacing w:lineRule="auto" w:line="235" w:before="80" w:after="80"/>
              <w:jc w:val="center"/>
              <w:rPr>
                <w:sz w:val="16"/>
              </w:rPr>
            </w:pPr>
            <w:r>
              <w:rPr>
                <w:sz w:val="16"/>
              </w:rPr>
              <w:t>Educational measures</w:t>
            </w:r>
          </w:p>
        </w:tc>
        <w:tc>
          <w:tcPr>
            <w:tcW w:w="75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35"/>
              <w:jc w:val="center"/>
              <w:rPr>
                <w:sz w:val="16"/>
              </w:rPr>
            </w:pPr>
            <w:r>
              <w:rPr>
                <w:sz w:val="16"/>
              </w:rPr>
              <w:t xml:space="preserve">Security measures </w:t>
            </w:r>
          </w:p>
        </w:tc>
        <w:tc>
          <w:tcPr>
            <w:tcW w:w="801" w:type="dxa"/>
            <w:vMerge w:val="restart"/>
            <w:tcBorders>
              <w:top w:val="single" w:sz="4" w:space="0" w:shadow="0" w:frame="0"/>
              <w:left w:val="single" w:sz="4" w:space="0" w:shadow="0" w:frame="0"/>
              <w:bottom w:val="single" w:sz="4" w:space="0" w:shadow="0" w:frame="0"/>
            </w:tcBorders>
            <w:vAlign w:val="center"/>
          </w:tcPr>
          <w:p>
            <w:pPr>
              <w:spacing w:lineRule="auto" w:line="235"/>
              <w:jc w:val="center"/>
              <w:rPr>
                <w:sz w:val="16"/>
              </w:rPr>
            </w:pPr>
            <w:r>
              <w:rPr>
                <w:sz w:val="16"/>
              </w:rPr>
              <w:t xml:space="preserve">Previously convicted </w:t>
            </w:r>
          </w:p>
        </w:tc>
      </w:tr>
      <w:tr>
        <w:trPr>
          <w:wAfter w:w="0" w:type="dxa"/>
          <w:trHeight w:hRule="atLeast" w:val="675"/>
        </w:trPr>
        <w:tc>
          <w:tcPr>
            <w:tcW w:w="2480" w:type="dxa"/>
            <w:vMerge w:val="continue"/>
            <w:tcBorders>
              <w:top w:val="single" w:sz="4" w:space="0" w:shadow="0" w:frame="0"/>
              <w:left w:val="none" w:sz="0" w:space="0" w:shadow="0" w:frame="0"/>
              <w:bottom w:val="single" w:sz="4" w:space="0" w:shadow="0" w:frame="0"/>
              <w:right w:val="none" w:sz="0" w:space="0" w:shadow="0" w:frame="0"/>
            </w:tcBorders>
            <w:shd w:val="nil" w:color="auto" w:fill="auto"/>
            <w:vAlign w:val="center"/>
          </w:tcPr>
          <w:p>
            <w:pPr>
              <w:spacing w:lineRule="auto" w:line="235"/>
              <w:rPr>
                <w:b w:val="1"/>
                <w:sz w:val="16"/>
              </w:rPr>
            </w:pPr>
          </w:p>
        </w:tc>
        <w:tc>
          <w:tcPr>
            <w:tcW w:w="73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5"/>
              <w:jc w:val="center"/>
              <w:rPr>
                <w:sz w:val="16"/>
              </w:rPr>
            </w:pPr>
            <w:r>
              <w:rPr>
                <w:sz w:val="16"/>
              </w:rPr>
              <w:t>all</w:t>
            </w:r>
          </w:p>
        </w:tc>
        <w:tc>
          <w:tcPr>
            <w:tcW w:w="73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35"/>
              <w:jc w:val="center"/>
              <w:rPr>
                <w:sz w:val="16"/>
              </w:rPr>
            </w:pPr>
            <w:r>
              <w:rPr>
                <w:sz w:val="16"/>
              </w:rPr>
              <w:t>Females</w:t>
            </w:r>
          </w:p>
        </w:tc>
        <w:tc>
          <w:tcPr>
            <w:tcW w:w="73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35"/>
              <w:jc w:val="center"/>
              <w:rPr>
                <w:sz w:val="16"/>
              </w:rPr>
            </w:pPr>
            <w:r>
              <w:rPr>
                <w:sz w:val="16"/>
              </w:rPr>
              <w:t xml:space="preserve">Attempt </w:t>
            </w:r>
          </w:p>
        </w:tc>
        <w:tc>
          <w:tcPr>
            <w:tcW w:w="737"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35"/>
              <w:rPr>
                <w:sz w:val="16"/>
              </w:rPr>
            </w:pPr>
          </w:p>
        </w:tc>
        <w:tc>
          <w:tcPr>
            <w:tcW w:w="73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35"/>
              <w:jc w:val="center"/>
              <w:rPr>
                <w:sz w:val="16"/>
              </w:rPr>
            </w:pPr>
            <w:r>
              <w:rPr>
                <w:sz w:val="16"/>
              </w:rPr>
              <w:t>all</w:t>
            </w:r>
          </w:p>
        </w:tc>
        <w:tc>
          <w:tcPr>
            <w:tcW w:w="759"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35"/>
              <w:jc w:val="center"/>
              <w:rPr>
                <w:sz w:val="16"/>
              </w:rPr>
            </w:pPr>
            <w:r>
              <w:rPr>
                <w:sz w:val="16"/>
              </w:rPr>
              <w:t>warning and directing measures</w:t>
            </w:r>
          </w:p>
        </w:tc>
        <w:tc>
          <w:tcPr>
            <w:tcW w:w="866"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35"/>
              <w:jc w:val="center"/>
              <w:rPr>
                <w:sz w:val="16"/>
              </w:rPr>
            </w:pPr>
            <w:r>
              <w:rPr>
                <w:sz w:val="16"/>
              </w:rPr>
              <w:t xml:space="preserve">Intensified supervision measures </w:t>
            </w:r>
          </w:p>
        </w:tc>
        <w:tc>
          <w:tcPr>
            <w:tcW w:w="866"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35"/>
              <w:jc w:val="center"/>
              <w:rPr>
                <w:sz w:val="16"/>
              </w:rPr>
            </w:pPr>
            <w:r>
              <w:rPr>
                <w:sz w:val="16"/>
              </w:rPr>
              <w:t xml:space="preserve">Institutional measures </w:t>
            </w:r>
          </w:p>
        </w:tc>
        <w:tc>
          <w:tcPr>
            <w:tcW w:w="75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35"/>
              <w:rPr>
                <w:sz w:val="16"/>
              </w:rPr>
            </w:pPr>
          </w:p>
        </w:tc>
        <w:tc>
          <w:tcPr>
            <w:tcW w:w="801" w:type="dxa"/>
            <w:vMerge w:val="continue"/>
            <w:tcBorders>
              <w:top w:val="single" w:sz="4" w:space="0" w:shadow="0" w:frame="0"/>
              <w:left w:val="single" w:sz="4" w:space="0" w:shadow="0" w:frame="0"/>
              <w:bottom w:val="single" w:sz="4" w:space="0" w:shadow="0" w:frame="0"/>
            </w:tcBorders>
            <w:vAlign w:val="center"/>
          </w:tcPr>
          <w:p>
            <w:pPr>
              <w:spacing w:lineRule="auto" w:line="235"/>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b w:val="1"/>
                <w:caps w:val="1"/>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ind w:right="113"/>
              <w:jc w:val="right"/>
              <w:rPr>
                <w:b w:val="1"/>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b w:val="1"/>
                <w:sz w:val="16"/>
              </w:rPr>
            </w:pPr>
            <w:r>
              <w:rPr>
                <w:b w:val="1"/>
                <w:sz w:val="16"/>
              </w:rPr>
              <w:t xml:space="preserve">Criminal offences against safety of computer data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b w:val="1"/>
                <w:sz w:val="16"/>
              </w:rPr>
            </w:pPr>
            <w:r>
              <w:rPr>
                <w:b w:val="1"/>
                <w:sz w:val="16"/>
              </w:rPr>
              <w:t>Criminal offences against constitutional order and security of the Republic of Serbia</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sz w:val="16"/>
              </w:rPr>
            </w:pPr>
            <w:r>
              <w:rPr>
                <w:sz w:val="16"/>
              </w:rPr>
              <w:t>Provoking national, racial and religious hate and intolerance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b w:val="1"/>
                <w:sz w:val="16"/>
              </w:rPr>
            </w:pPr>
            <w:r>
              <w:rPr>
                <w:b w:val="1"/>
                <w:sz w:val="16"/>
              </w:rPr>
              <w:t xml:space="preserve">Criminal offences against public administration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b w:val="1"/>
                <w:sz w:val="16"/>
              </w:rPr>
            </w:pPr>
            <w:r>
              <w:rPr>
                <w:b w:val="1"/>
                <w:sz w:val="16"/>
              </w:rPr>
              <w:t>Criminal offences against jurisdiction</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6</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b w:val="1"/>
                <w:sz w:val="16"/>
              </w:rPr>
            </w:pPr>
            <w:r>
              <w:rPr>
                <w:b w:val="1"/>
                <w:sz w:val="16"/>
              </w:rPr>
              <w:t>Criminal offences against public peace and order</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311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20</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311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154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154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13</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25</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Causing panic and disorder</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Violent behavior</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257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19</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257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115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139</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6</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24</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 xml:space="preserve">Violent behavior on sport manifestation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16</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Agreement to commit a criminal offence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 xml:space="preserve">Manufacture and procurement of weapons and other means of committing criminal offence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 xml:space="preserve">Illicit production, keeping of weapon and explosive substances trafficking  </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9</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3</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Act as a member of group that performs criminal offence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Illegal state border crossing and human trafficking</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rPr>
                <w:sz w:val="16"/>
              </w:rPr>
            </w:pPr>
            <w:r>
              <w:rPr>
                <w:sz w:val="16"/>
              </w:rPr>
              <w:t>Help and danger signs abuse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13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Desecration of grave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b w:val="1"/>
                <w:sz w:val="16"/>
              </w:rPr>
            </w:pPr>
            <w:r>
              <w:rPr>
                <w:b w:val="1"/>
                <w:sz w:val="16"/>
              </w:rPr>
              <w:t>Criminal offences against legal transactions</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18</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b w:val="1"/>
                <w:sz w:val="16"/>
              </w:rPr>
            </w:pPr>
            <w:r>
              <w:rPr>
                <w:b w:val="1"/>
                <w:sz w:val="16"/>
              </w:rPr>
              <w:t>Criminal offences against official duty</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b w:val="1"/>
                <w:sz w:val="16"/>
              </w:rPr>
            </w:pPr>
            <w:r>
              <w:rPr>
                <w:b w:val="1"/>
                <w:sz w:val="16"/>
              </w:rPr>
              <w:t>Other criminal offences (particular laws)</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w:t>
            </w: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17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SRBIJA – SEVER</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1042</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59</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1041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530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464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47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90</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120</w:t>
            </w:r>
          </w:p>
        </w:tc>
      </w:tr>
      <w:tr>
        <w:trPr>
          <w:wAfter w:w="0" w:type="dxa"/>
          <w:trHeight w:hRule="atLeast" w:val="2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b w:val="1"/>
                <w:sz w:val="16"/>
              </w:rPr>
            </w:pPr>
            <w:r>
              <w:rPr>
                <w:b w:val="1"/>
                <w:sz w:val="16"/>
              </w:rPr>
              <w:t>Beogradski region</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427</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427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227</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181</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80</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25</w:t>
            </w:r>
          </w:p>
        </w:tc>
      </w:tr>
      <w:tr>
        <w:trPr>
          <w:wAfter w:w="0" w:type="dxa"/>
          <w:trHeight w:hRule="atLeast" w:val="2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b w:val="1"/>
                <w:sz w:val="16"/>
              </w:rPr>
            </w:pPr>
            <w:r>
              <w:rPr>
                <w:b w:val="1"/>
                <w:sz w:val="16"/>
              </w:rPr>
              <w:t>Region Vojvodine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615</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34</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614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303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283</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10</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95</w:t>
            </w:r>
          </w:p>
        </w:tc>
      </w:tr>
      <w:tr>
        <w:trPr>
          <w:wAfter w:w="0" w:type="dxa"/>
          <w:trHeight w:hRule="atLeast" w:val="2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p>
        </w:tc>
      </w:tr>
      <w:tr>
        <w:trPr>
          <w:wAfter w:w="0" w:type="dxa"/>
          <w:trHeight w:hRule="atLeast" w:val="2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rPr>
                <w:sz w:val="16"/>
              </w:rPr>
            </w:pPr>
            <w:r>
              <w:rPr>
                <w:sz w:val="16"/>
              </w:rPr>
              <w:t>SRBIJA – JUG</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sz w:val="16"/>
              </w:rPr>
            </w:pPr>
            <w:r>
              <w:rPr>
                <w:sz w:val="16"/>
              </w:rPr>
              <w:t>1260</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63</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1259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465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736</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58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31</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sz w:val="16"/>
              </w:rPr>
            </w:pPr>
            <w:r>
              <w:rPr>
                <w:sz w:val="16"/>
              </w:rPr>
              <w:t>184</w:t>
            </w:r>
          </w:p>
        </w:tc>
      </w:tr>
      <w:tr>
        <w:trPr>
          <w:wAfter w:w="0" w:type="dxa"/>
          <w:trHeight w:hRule="atLeast" w:val="2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b w:val="1"/>
                <w:sz w:val="16"/>
              </w:rPr>
            </w:pPr>
            <w:r>
              <w:rPr>
                <w:b w:val="1"/>
                <w:sz w:val="16"/>
              </w:rPr>
              <w:t>Region Šumadije i Zapadne Srbije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790</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42</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789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295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462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7</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119</w:t>
            </w:r>
          </w:p>
        </w:tc>
      </w:tr>
      <w:tr>
        <w:trPr>
          <w:wAfter w:w="0" w:type="dxa"/>
          <w:trHeight w:hRule="atLeast" w:val="2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b w:val="1"/>
                <w:sz w:val="16"/>
              </w:rPr>
            </w:pPr>
            <w:r>
              <w:rPr>
                <w:b w:val="1"/>
                <w:sz w:val="16"/>
              </w:rPr>
              <w:t>Region Južne i Istočne Srbije</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470</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21</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470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170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274</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24</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65</w:t>
            </w:r>
          </w:p>
        </w:tc>
      </w:tr>
      <w:tr>
        <w:trPr>
          <w:wAfter w:w="0" w:type="dxa"/>
          <w:trHeight w:hRule="atLeast" w:val="20"/>
        </w:trPr>
        <w:tc>
          <w:tcPr>
            <w:tcW w:w="2480" w:type="dxa"/>
            <w:tcBorders>
              <w:top w:val="none" w:sz="0" w:space="0" w:shadow="0" w:frame="0"/>
              <w:left w:val="none" w:sz="0" w:space="0" w:shadow="0" w:frame="0"/>
              <w:bottom w:val="none" w:sz="0" w:space="0" w:shadow="0" w:frame="0"/>
              <w:right w:val="single" w:sz="4" w:space="0" w:shadow="0" w:frame="0"/>
            </w:tcBorders>
          </w:tcPr>
          <w:p>
            <w:pPr>
              <w:spacing w:lineRule="auto" w:line="235"/>
              <w:ind w:left="170"/>
              <w:rPr>
                <w:b w:val="1"/>
                <w:sz w:val="16"/>
              </w:rPr>
            </w:pPr>
            <w:r>
              <w:rPr>
                <w:b w:val="1"/>
                <w:sz w:val="16"/>
              </w:rPr>
              <w:t>Region Kosovo i Metohija</w:t>
            </w:r>
          </w:p>
        </w:tc>
        <w:tc>
          <w:tcPr>
            <w:tcW w:w="738" w:type="dxa"/>
            <w:tcBorders>
              <w:top w:val="none" w:sz="0" w:space="0" w:shadow="0" w:frame="0"/>
              <w:left w:val="single" w:sz="4"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8"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c>
          <w:tcPr>
            <w:tcW w:w="801" w:type="dxa"/>
            <w:tcBorders>
              <w:top w:val="none" w:sz="0" w:space="0" w:shadow="0" w:frame="0"/>
              <w:left w:val="none" w:sz="0" w:space="0" w:shadow="0" w:frame="0"/>
              <w:bottom w:val="none" w:sz="0" w:space="0" w:shadow="0" w:frame="0"/>
              <w:right w:val="none" w:sz="0" w:space="0" w:shadow="0" w:frame="0"/>
            </w:tcBorders>
            <w:vAlign w:val="bottom"/>
          </w:tcPr>
          <w:p>
            <w:pPr>
              <w:spacing w:lineRule="auto" w:line="235"/>
              <w:jc w:val="right"/>
              <w:rPr>
                <w:b w:val="1"/>
                <w:sz w:val="16"/>
              </w:rPr>
            </w:pPr>
            <w:r>
              <w:rPr>
                <w:b w:val="1"/>
                <w:sz w:val="16"/>
              </w:rPr>
              <w:t>...</w:t>
            </w:r>
          </w:p>
        </w:tc>
      </w:tr>
    </w:tbl>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sz w:val="18"/>
              </w:rPr>
            </w:pPr>
            <w:r>
              <w:rPr>
                <w:i w:val="1"/>
                <w:sz w:val="18"/>
              </w:rPr>
              <w:t>Contact</w:t>
            </w:r>
            <w:r>
              <w:rPr>
                <w:i w:val="1"/>
                <w:sz w:val="18"/>
              </w:rPr>
              <w:t xml:space="preserve">:  </w:t>
            </w:r>
            <w:r>
              <w:fldChar w:fldCharType="begin"/>
            </w:r>
            <w:r>
              <w:rPr>
                <w:i w:val="1"/>
                <w:sz w:val="18"/>
              </w:rPr>
              <w:instrText xml:space="preserve"> HYPERLINK "mailto:vesna.zajc@stat.gov.rs" </w:instrText>
            </w:r>
            <w:r>
              <w:fldChar w:fldCharType="separate"/>
            </w:r>
            <w:r>
              <w:rPr>
                <w:rStyle w:val="C2"/>
                <w:i w:val="1"/>
                <w:sz w:val="18"/>
                <w:u w:val="none"/>
              </w:rPr>
              <w:t>vesna.zajc@stat.gov.rs</w:t>
            </w:r>
            <w:r>
              <w:rPr>
                <w:rStyle w:val="C2"/>
              </w:rPr>
              <w:fldChar w:fldCharType="end"/>
            </w:r>
            <w:r>
              <w:rPr>
                <w:i w:val="1"/>
                <w:sz w:val="18"/>
              </w:rPr>
              <w:t xml:space="preserve">  </w:t>
            </w:r>
            <w:r>
              <w:rPr>
                <w:sz w:val="18"/>
              </w:rPr>
              <w:t xml:space="preserve"> </w:t>
            </w:r>
            <w:r>
              <w:rPr>
                <w:i w:val="1"/>
                <w:sz w:val="18"/>
              </w:rPr>
              <w:t>phone</w:t>
            </w:r>
            <w:r>
              <w:rPr>
                <w:i w:val="1"/>
                <w:sz w:val="18"/>
              </w:rPr>
              <w:t xml:space="preserve">: 011 2412-922  </w:t>
            </w:r>
            <w:r>
              <w:rPr>
                <w:i w:val="1"/>
                <w:sz w:val="18"/>
              </w:rPr>
              <w:t>ext</w:t>
            </w:r>
            <w:r>
              <w:rPr>
                <w:i w:val="1"/>
                <w:sz w:val="18"/>
              </w:rPr>
              <w:t xml:space="preserve"> 298</w:t>
            </w:r>
          </w:p>
          <w:p>
            <w:pPr>
              <w:framePr w:w="0" w:h="0" w:hRule="auto" w:vSpace="0" w:hSpace="0" w:wrap="auto" w:vAnchor="margin" w:hAnchor="text" w:x="0" w:xAlign="left" w:y="0" w:yAlign="inline"/>
              <w:jc w:val="center"/>
              <w:rPr>
                <w:i w:val="1"/>
                <w:sz w:val="18"/>
              </w:rPr>
            </w:pPr>
            <w:r>
              <w:rPr>
                <w:i w:val="1"/>
                <w:sz w:val="18"/>
              </w:rPr>
              <w:t xml:space="preserve">Published and </w:t>
            </w:r>
            <w:r>
              <w:rPr>
                <w:i w:val="1"/>
                <w:sz w:val="18"/>
              </w:rPr>
              <w:t xml:space="preserve">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ind w:left="198" w:right="29"/>
              <w:jc w:val="center"/>
              <w:rPr>
                <w:b w:val="1"/>
                <w:sz w:val="19"/>
              </w:rPr>
            </w:pPr>
            <w:r>
              <w:rPr>
                <w:i w:val="1"/>
                <w:sz w:val="18"/>
              </w:rPr>
              <w:t xml:space="preserve">Circulation: 20 ● </w:t>
            </w:r>
            <w:r>
              <w:t xml:space="preserve"> </w:t>
            </w:r>
            <w:r>
              <w:rPr>
                <w:i w:val="1"/>
                <w:sz w:val="18"/>
              </w:rPr>
              <w:t>Issued annually</w:t>
            </w:r>
          </w:p>
          <w:p>
            <w:pPr>
              <w:framePr w:w="0" w:h="0" w:hRule="auto" w:vSpace="0" w:hSpace="0" w:wrap="auto" w:vAnchor="margin" w:hAnchor="text" w:x="0" w:xAlign="left" w:y="0" w:yAlign="inline"/>
              <w:jc w:val="center"/>
              <w:rPr>
                <w:i w:val="1"/>
              </w:rPr>
            </w:pPr>
          </w:p>
        </w:tc>
      </w:tr>
    </w:tbl>
    <w:p>
      <w:pPr>
        <w:pStyle w:val="P10"/>
        <w:rPr>
          <w:b w:val="1"/>
          <w:sz w:val="2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jc w:val="center"/>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CellMar>
        <w:left w:w="28" w:type="dxa"/>
        <w:right w:w="28" w:type="dxa"/>
      </w:tblCellMar>
    </w:tblPr>
    <w:tblGrid/>
    <w:tr>
      <w:tc>
        <w:tcPr>
          <w:tcW w:w="5210" w:type="dxa"/>
          <w:tcBorders>
            <w:bottom w:val="none" w:sz="0" w:space="0" w:shadow="0" w:frame="0"/>
            <w:right w:val="none" w:sz="0" w:space="0" w:shadow="0" w:frame="0"/>
          </w:tcBorders>
        </w:tcPr>
        <w:p>
          <w:pPr>
            <w:spacing w:before="120"/>
            <w:rPr>
              <w:i w:val="1"/>
              <w:sz w:val="16"/>
            </w:rPr>
          </w:pPr>
          <w:r>
            <w:rPr>
              <w:i w:val="1"/>
              <w:sz w:val="16"/>
            </w:rPr>
            <w:t>SRB</w:t>
          </w:r>
          <w:r>
            <w:rPr>
              <w:i w:val="1"/>
              <w:sz w:val="16"/>
            </w:rPr>
            <w:t>200</w:t>
          </w:r>
          <w:r>
            <w:rPr>
              <w:i w:val="1"/>
              <w:sz w:val="16"/>
            </w:rPr>
            <w:t xml:space="preserve"> </w:t>
          </w:r>
          <w:r>
            <w:rPr>
              <w:i w:val="1"/>
              <w:sz w:val="16"/>
            </w:rPr>
            <w:t>SK</w:t>
          </w:r>
          <w:r>
            <w:rPr>
              <w:i w:val="1"/>
              <w:sz w:val="16"/>
            </w:rPr>
            <w:t>11 1</w:t>
          </w:r>
          <w:r>
            <w:rPr>
              <w:i w:val="1"/>
              <w:sz w:val="16"/>
            </w:rPr>
            <w:t>5</w:t>
          </w:r>
          <w:r>
            <w:rPr>
              <w:i w:val="1"/>
              <w:sz w:val="16"/>
            </w:rPr>
            <w:t>071</w:t>
          </w:r>
          <w:r>
            <w:rPr>
              <w:i w:val="1"/>
              <w:sz w:val="16"/>
            </w:rPr>
            <w:t>3</w:t>
          </w:r>
        </w:p>
      </w:tc>
      <w:tc>
        <w:tcPr>
          <w:tcW w:w="5211" w:type="dxa"/>
          <w:tcBorders>
            <w:bottom w:val="none" w:sz="0" w:space="0" w:shadow="0" w:frame="0"/>
          </w:tcBorders>
        </w:tcPr>
        <w:p>
          <w:pPr>
            <w:spacing w:before="120"/>
            <w:jc w:val="right"/>
            <w:rPr>
              <w:b w:val="1"/>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jc w:val="center"/>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CellMar>
        <w:left w:w="28" w:type="dxa"/>
        <w:right w:w="28" w:type="dxa"/>
      </w:tblCellMar>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SRB</w:t>
          </w:r>
          <w:r>
            <w:rPr>
              <w:b w:val="1"/>
              <w:sz w:val="16"/>
            </w:rPr>
            <w:t>200</w:t>
          </w:r>
          <w:r>
            <w:rPr>
              <w:b w:val="1"/>
              <w:sz w:val="16"/>
            </w:rPr>
            <w:t xml:space="preserve"> </w:t>
          </w:r>
          <w:r>
            <w:rPr>
              <w:b w:val="1"/>
              <w:sz w:val="16"/>
            </w:rPr>
            <w:t>SK</w:t>
          </w:r>
          <w:r>
            <w:rPr>
              <w:b w:val="1"/>
              <w:sz w:val="16"/>
            </w:rPr>
            <w:t>11 1</w:t>
          </w:r>
          <w:r>
            <w:rPr>
              <w:b w:val="1"/>
              <w:sz w:val="16"/>
            </w:rPr>
            <w:t>5</w:t>
          </w:r>
          <w:r>
            <w:rPr>
              <w:b w:val="1"/>
              <w:sz w:val="16"/>
            </w:rPr>
            <w:t>071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C7D9A2B">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0285FA90">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5581E6D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7460661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150C126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113F91"/>
    <w:multiLevelType w:val="multilevel"/>
    <w:lvl w:ilvl="0">
      <w:start w:val="9"/>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039C1A3B"/>
    <w:multiLevelType w:val="hybridMultilevel"/>
    <w:lvl w:ilvl="0" w:tplc="0D409C9A">
      <w:start w:val="1"/>
      <w:numFmt w:val="bullet"/>
      <w:suff w:val="tab"/>
      <w:lvlText w:val=""/>
      <w:lvlJc w:val="left"/>
      <w:pPr>
        <w:ind w:hanging="360" w:left="1117"/>
        <w:tabs>
          <w:tab w:val="left" w:pos="1117" w:leader="none"/>
        </w:tabs>
      </w:pPr>
      <w:rPr>
        <w:rFonts w:ascii="Symbol" w:hAnsi="Symbol"/>
        <w:sz w:val="16"/>
      </w:rPr>
    </w:lvl>
    <w:lvl w:ilvl="1" w:tplc="46044C9B">
      <w:start w:val="1"/>
      <w:numFmt w:val="bullet"/>
      <w:suff w:val="tab"/>
      <w:lvlText w:val="o"/>
      <w:lvlJc w:val="left"/>
      <w:pPr>
        <w:ind w:hanging="360" w:left="1837"/>
        <w:tabs>
          <w:tab w:val="left" w:pos="1837" w:leader="none"/>
        </w:tabs>
      </w:pPr>
      <w:rPr>
        <w:rFonts w:ascii="Courier New" w:hAnsi="Courier New"/>
      </w:rPr>
    </w:lvl>
    <w:lvl w:ilvl="2" w:tplc="67B334F8">
      <w:start w:val="1"/>
      <w:numFmt w:val="bullet"/>
      <w:suff w:val="tab"/>
      <w:lvlText w:val=""/>
      <w:lvlJc w:val="left"/>
      <w:pPr>
        <w:ind w:hanging="360" w:left="2557"/>
        <w:tabs>
          <w:tab w:val="left" w:pos="2557" w:leader="none"/>
        </w:tabs>
      </w:pPr>
      <w:rPr>
        <w:rFonts w:ascii="Wingdings" w:hAnsi="Wingdings"/>
      </w:rPr>
    </w:lvl>
    <w:lvl w:ilvl="3" w:tplc="59DF053F">
      <w:start w:val="1"/>
      <w:numFmt w:val="bullet"/>
      <w:suff w:val="tab"/>
      <w:lvlText w:val=""/>
      <w:lvlJc w:val="left"/>
      <w:pPr>
        <w:ind w:hanging="360" w:left="3277"/>
        <w:tabs>
          <w:tab w:val="left" w:pos="3277" w:leader="none"/>
        </w:tabs>
      </w:pPr>
      <w:rPr>
        <w:rFonts w:ascii="Symbol" w:hAnsi="Symbol"/>
      </w:rPr>
    </w:lvl>
    <w:lvl w:ilvl="4" w:tplc="7A7A0735">
      <w:start w:val="1"/>
      <w:numFmt w:val="bullet"/>
      <w:suff w:val="tab"/>
      <w:lvlText w:val="o"/>
      <w:lvlJc w:val="left"/>
      <w:pPr>
        <w:ind w:hanging="360" w:left="3997"/>
        <w:tabs>
          <w:tab w:val="left" w:pos="3997" w:leader="none"/>
        </w:tabs>
      </w:pPr>
      <w:rPr>
        <w:rFonts w:ascii="Courier New" w:hAnsi="Courier New"/>
      </w:rPr>
    </w:lvl>
    <w:lvl w:ilvl="5" w:tplc="0AEDF182">
      <w:start w:val="1"/>
      <w:numFmt w:val="bullet"/>
      <w:suff w:val="tab"/>
      <w:lvlText w:val=""/>
      <w:lvlJc w:val="left"/>
      <w:pPr>
        <w:ind w:hanging="360" w:left="4717"/>
        <w:tabs>
          <w:tab w:val="left" w:pos="4717" w:leader="none"/>
        </w:tabs>
      </w:pPr>
      <w:rPr>
        <w:rFonts w:ascii="Wingdings" w:hAnsi="Wingdings"/>
      </w:rPr>
    </w:lvl>
    <w:lvl w:ilvl="6" w:tplc="5F9749CE">
      <w:start w:val="1"/>
      <w:numFmt w:val="bullet"/>
      <w:suff w:val="tab"/>
      <w:lvlText w:val=""/>
      <w:lvlJc w:val="left"/>
      <w:pPr>
        <w:ind w:hanging="360" w:left="5437"/>
        <w:tabs>
          <w:tab w:val="left" w:pos="5437" w:leader="none"/>
        </w:tabs>
      </w:pPr>
      <w:rPr>
        <w:rFonts w:ascii="Symbol" w:hAnsi="Symbol"/>
      </w:rPr>
    </w:lvl>
    <w:lvl w:ilvl="7" w:tplc="1F56DDF2">
      <w:start w:val="1"/>
      <w:numFmt w:val="bullet"/>
      <w:suff w:val="tab"/>
      <w:lvlText w:val="o"/>
      <w:lvlJc w:val="left"/>
      <w:pPr>
        <w:ind w:hanging="360" w:left="6157"/>
        <w:tabs>
          <w:tab w:val="left" w:pos="6157" w:leader="none"/>
        </w:tabs>
      </w:pPr>
      <w:rPr>
        <w:rFonts w:ascii="Courier New" w:hAnsi="Courier New"/>
      </w:rPr>
    </w:lvl>
    <w:lvl w:ilvl="8" w:tplc="36E4C5AE">
      <w:start w:val="1"/>
      <w:numFmt w:val="bullet"/>
      <w:suff w:val="tab"/>
      <w:lvlText w:val=""/>
      <w:lvlJc w:val="left"/>
      <w:pPr>
        <w:ind w:hanging="360" w:left="6877"/>
        <w:tabs>
          <w:tab w:val="left" w:pos="6877" w:leader="none"/>
        </w:tabs>
      </w:pPr>
      <w:rPr>
        <w:rFonts w:ascii="Wingdings" w:hAnsi="Wingdings"/>
      </w:rPr>
    </w:lvl>
  </w:abstractNum>
  <w:abstractNum w:abstractNumId="12">
    <w:nsid w:val="0A5A5FA1"/>
    <w:multiLevelType w:val="multilevel"/>
    <w:lvl w:ilvl="0">
      <w:start w:val="9"/>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4">
    <w:nsid w:val="114D6BE7"/>
    <w:multiLevelType w:val="hybridMultilevel"/>
    <w:lvl w:ilvl="0" w:tplc="61520C84">
      <w:start w:val="1"/>
      <w:numFmt w:val="bullet"/>
      <w:suff w:val="tab"/>
      <w:lvlText w:val=""/>
      <w:lvlJc w:val="left"/>
      <w:pPr>
        <w:ind w:hanging="283" w:left="680"/>
        <w:tabs>
          <w:tab w:val="left" w:pos="323" w:leader="none"/>
        </w:tabs>
      </w:pPr>
      <w:rPr>
        <w:rFonts w:ascii="Symbol" w:hAnsi="Symbol"/>
        <w:color w:val="auto"/>
        <w:sz w:val="20"/>
      </w:rPr>
    </w:lvl>
    <w:lvl w:ilvl="1" w:tplc="66C9A1EA">
      <w:start w:val="1"/>
      <w:numFmt w:val="bullet"/>
      <w:suff w:val="tab"/>
      <w:lvlText w:val=""/>
      <w:lvlJc w:val="left"/>
      <w:pPr>
        <w:ind w:hanging="284" w:left="851"/>
        <w:tabs>
          <w:tab w:val="left" w:pos="851" w:leader="none"/>
        </w:tabs>
      </w:pPr>
      <w:rPr>
        <w:rFonts w:ascii="Symbol" w:hAnsi="Symbol"/>
        <w:color w:val="auto"/>
      </w:rPr>
    </w:lvl>
    <w:lvl w:ilvl="2" w:tplc="6EE765E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5">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6">
    <w:nsid w:val="18FD5B27"/>
    <w:multiLevelType w:val="multilevel"/>
    <w:lvl w:ilvl="0">
      <w:start w:val="9"/>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21DB0CCD"/>
    <w:multiLevelType w:val="multilevel"/>
    <w:lvl w:ilvl="0">
      <w:start w:val="1"/>
      <w:numFmt w:val="decimal"/>
      <w:suff w:val="tab"/>
      <w:lvlText w:val="%1."/>
      <w:lvlJc w:val="left"/>
      <w:pPr>
        <w:ind w:hanging="284" w:left="284"/>
        <w:tabs>
          <w:tab w:val="left" w:pos="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28324EB8"/>
    <w:multiLevelType w:val="multilevel"/>
    <w:lvl w:ilvl="0">
      <w:start w:val="1"/>
      <w:numFmt w:val="decimal"/>
      <w:suff w:val="tab"/>
      <w:lvlText w:val="%1."/>
      <w:lvlJc w:val="left"/>
      <w:pPr>
        <w:ind w:hanging="284" w:left="284"/>
        <w:tabs>
          <w:tab w:val="left" w:pos="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3F036B9"/>
    <w:multiLevelType w:val="multilevel"/>
    <w:lvl w:ilvl="0">
      <w:start w:val="6"/>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3">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383173AF"/>
    <w:multiLevelType w:val="multilevel"/>
    <w:lvl w:ilvl="0">
      <w:start w:val="9"/>
      <w:numFmt w:val="decimal"/>
      <w:suff w:val="tab"/>
      <w:lvlText w:val="%1."/>
      <w:lvlJc w:val="left"/>
      <w:pPr>
        <w:ind w:hanging="284" w:left="284"/>
        <w:tabs>
          <w:tab w:val="left" w:pos="284"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6">
    <w:nsid w:val="398F6ADB"/>
    <w:multiLevelType w:val="multilevel"/>
    <w:lvl w:ilvl="0">
      <w:start w:val="9"/>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3CD91FB7"/>
    <w:multiLevelType w:val="hybridMultilevel"/>
    <w:lvl w:ilvl="0">
      <w:start w:val="1"/>
      <w:numFmt w:val="decimal"/>
      <w:suff w:val="tab"/>
      <w:lvlText w:val="%1)"/>
      <w:lvlJc w:val="left"/>
      <w:pPr>
        <w:ind w:hanging="360" w:left="360"/>
        <w:tabs>
          <w:tab w:val="left" w:pos="360" w:leader="none"/>
        </w:tabs>
      </w:pPr>
      <w:rPr/>
    </w:lvl>
    <w:lvl w:ilvl="1" w:tplc="3C1DEC2C">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8">
    <w:nsid w:val="3D59343A"/>
    <w:multiLevelType w:val="hybridMultilevel"/>
    <w:lvl w:ilvl="0" w:tplc="6AAC5276">
      <w:start w:val="1"/>
      <w:numFmt w:val="bullet"/>
      <w:suff w:val="tab"/>
      <w:lvlText w:val=""/>
      <w:lvlJc w:val="left"/>
      <w:pPr>
        <w:ind w:hanging="283" w:left="680"/>
        <w:tabs>
          <w:tab w:val="left" w:pos="323" w:leader="none"/>
        </w:tabs>
      </w:pPr>
      <w:rPr>
        <w:rFonts w:ascii="Symbol" w:hAnsi="Symbol"/>
        <w:color w:val="auto"/>
        <w:sz w:val="20"/>
      </w:rPr>
    </w:lvl>
    <w:lvl w:ilvl="1" w:tplc="5C165D87">
      <w:start w:val="1"/>
      <w:numFmt w:val="bullet"/>
      <w:suff w:val="tab"/>
      <w:lvlText w:val=""/>
      <w:lvlJc w:val="left"/>
      <w:pPr>
        <w:ind w:hanging="284" w:left="851"/>
        <w:tabs>
          <w:tab w:val="left" w:pos="851" w:leader="none"/>
        </w:tabs>
      </w:pPr>
      <w:rPr>
        <w:rFonts w:ascii="Symbol" w:hAnsi="Symbol"/>
        <w:color w:val="auto"/>
      </w:rPr>
    </w:lvl>
    <w:lvl w:ilvl="2" w:tplc="6A5EFDC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40DC736A"/>
    <w:multiLevelType w:val="multilevel"/>
    <w:lvl w:ilvl="0">
      <w:start w:val="2"/>
      <w:numFmt w:val="decimal"/>
      <w:suff w:val="tab"/>
      <w:lvlText w:val="%1."/>
      <w:lvlJc w:val="left"/>
      <w:pPr>
        <w:ind w:hanging="450" w:left="450"/>
        <w:tabs>
          <w:tab w:val="left" w:pos="450" w:leader="none"/>
        </w:tabs>
      </w:pPr>
      <w:rPr/>
    </w:lvl>
    <w:lvl w:ilvl="1">
      <w:start w:val="8"/>
      <w:numFmt w:val="decimal"/>
      <w:suff w:val="tab"/>
      <w:lvlText w:val="%1.%2."/>
      <w:lvlJc w:val="left"/>
      <w:pPr>
        <w:ind w:hanging="450" w:left="1164"/>
        <w:tabs>
          <w:tab w:val="left" w:pos="1164" w:leader="none"/>
        </w:tabs>
      </w:pPr>
      <w:rPr/>
    </w:lvl>
    <w:lvl w:ilvl="2">
      <w:start w:val="1"/>
      <w:numFmt w:val="decimal"/>
      <w:suff w:val="tab"/>
      <w:lvlText w:val="%1.%2.%3."/>
      <w:lvlJc w:val="left"/>
      <w:pPr>
        <w:ind w:hanging="720" w:left="2148"/>
        <w:tabs>
          <w:tab w:val="left" w:pos="2148" w:leader="none"/>
        </w:tabs>
      </w:pPr>
      <w:rPr/>
    </w:lvl>
    <w:lvl w:ilvl="3">
      <w:start w:val="1"/>
      <w:numFmt w:val="decimal"/>
      <w:suff w:val="tab"/>
      <w:lvlText w:val="%1.%2.%3.%4."/>
      <w:lvlJc w:val="left"/>
      <w:pPr>
        <w:ind w:hanging="720" w:left="2862"/>
        <w:tabs>
          <w:tab w:val="left" w:pos="2862" w:leader="none"/>
        </w:tabs>
      </w:pPr>
      <w:rPr/>
    </w:lvl>
    <w:lvl w:ilvl="4">
      <w:start w:val="1"/>
      <w:numFmt w:val="decimal"/>
      <w:suff w:val="tab"/>
      <w:lvlText w:val="%1.%2.%3.%4.%5."/>
      <w:lvlJc w:val="left"/>
      <w:pPr>
        <w:ind w:hanging="1080" w:left="3936"/>
        <w:tabs>
          <w:tab w:val="left" w:pos="3936" w:leader="none"/>
        </w:tabs>
      </w:pPr>
      <w:rPr/>
    </w:lvl>
    <w:lvl w:ilvl="5">
      <w:start w:val="1"/>
      <w:numFmt w:val="decimal"/>
      <w:suff w:val="tab"/>
      <w:lvlText w:val="%1.%2.%3.%4.%5.%6."/>
      <w:lvlJc w:val="left"/>
      <w:pPr>
        <w:ind w:hanging="1080" w:left="4650"/>
        <w:tabs>
          <w:tab w:val="left" w:pos="4650" w:leader="none"/>
        </w:tabs>
      </w:pPr>
      <w:rPr/>
    </w:lvl>
    <w:lvl w:ilvl="6">
      <w:start w:val="1"/>
      <w:numFmt w:val="decimal"/>
      <w:suff w:val="tab"/>
      <w:lvlText w:val="%1.%2.%3.%4.%5.%6.%7."/>
      <w:lvlJc w:val="left"/>
      <w:pPr>
        <w:ind w:hanging="1440" w:left="5724"/>
        <w:tabs>
          <w:tab w:val="left" w:pos="5724" w:leader="none"/>
        </w:tabs>
      </w:pPr>
      <w:rPr/>
    </w:lvl>
    <w:lvl w:ilvl="7">
      <w:start w:val="1"/>
      <w:numFmt w:val="decimal"/>
      <w:suff w:val="tab"/>
      <w:lvlText w:val="%1.%2.%3.%4.%5.%6.%7.%8."/>
      <w:lvlJc w:val="left"/>
      <w:pPr>
        <w:ind w:hanging="1440" w:left="6438"/>
        <w:tabs>
          <w:tab w:val="left" w:pos="6438" w:leader="none"/>
        </w:tabs>
      </w:pPr>
      <w:rPr/>
    </w:lvl>
    <w:lvl w:ilvl="8">
      <w:start w:val="1"/>
      <w:numFmt w:val="decimal"/>
      <w:suff w:val="tab"/>
      <w:lvlText w:val="%1.%2.%3.%4.%5.%6.%7.%8.%9."/>
      <w:lvlJc w:val="left"/>
      <w:pPr>
        <w:ind w:hanging="1800" w:left="7512"/>
        <w:tabs>
          <w:tab w:val="left" w:pos="7512" w:leader="none"/>
        </w:tabs>
      </w:pPr>
      <w:rPr/>
    </w:lvl>
  </w:abstractNum>
  <w:abstractNum w:abstractNumId="31">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2">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3">
    <w:nsid w:val="459470E3"/>
    <w:multiLevelType w:val="hybridMultilevel"/>
    <w:lvl w:ilvl="0" w:tplc="54F13EDA">
      <w:start w:val="1"/>
      <w:numFmt w:val="bullet"/>
      <w:suff w:val="tab"/>
      <w:lvlText w:val=""/>
      <w:lvlJc w:val="left"/>
      <w:pPr>
        <w:ind w:hanging="283" w:left="680"/>
        <w:tabs>
          <w:tab w:val="left" w:pos="323" w:leader="none"/>
        </w:tabs>
      </w:pPr>
      <w:rPr>
        <w:rFonts w:ascii="Symbol" w:hAnsi="Symbol"/>
        <w:color w:val="auto"/>
        <w:sz w:val="20"/>
      </w:rPr>
    </w:lvl>
    <w:lvl w:ilvl="1" w:tplc="1E04DDB0">
      <w:start w:val="1"/>
      <w:numFmt w:val="bullet"/>
      <w:suff w:val="tab"/>
      <w:lvlText w:val=""/>
      <w:lvlJc w:val="left"/>
      <w:pPr>
        <w:ind w:hanging="284" w:left="851"/>
        <w:tabs>
          <w:tab w:val="left" w:pos="851" w:leader="none"/>
        </w:tabs>
      </w:pPr>
      <w:rPr>
        <w:rFonts w:ascii="Symbol" w:hAnsi="Symbol"/>
        <w:color w:val="auto"/>
      </w:rPr>
    </w:lvl>
    <w:lvl w:ilvl="2" w:tplc="653C2E3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4">
    <w:nsid w:val="4B3A34D7"/>
    <w:multiLevelType w:val="hybridMultilevel"/>
    <w:lvl w:ilvl="0" w:tplc="5EE963F4">
      <w:start w:val="1"/>
      <w:numFmt w:val="bullet"/>
      <w:suff w:val="tab"/>
      <w:lvlText w:val=""/>
      <w:lvlJc w:val="left"/>
      <w:pPr>
        <w:ind w:hanging="283" w:left="680"/>
        <w:tabs>
          <w:tab w:val="left" w:pos="323" w:leader="none"/>
        </w:tabs>
      </w:pPr>
      <w:rPr>
        <w:rFonts w:ascii="Symbol" w:hAnsi="Symbol"/>
        <w:color w:val="auto"/>
        <w:sz w:val="20"/>
      </w:rPr>
    </w:lvl>
    <w:lvl w:ilvl="1" w:tplc="709135DD">
      <w:start w:val="1"/>
      <w:numFmt w:val="bullet"/>
      <w:suff w:val="tab"/>
      <w:lvlText w:val=""/>
      <w:lvlJc w:val="left"/>
      <w:pPr>
        <w:ind w:hanging="284" w:left="851"/>
        <w:tabs>
          <w:tab w:val="left" w:pos="851" w:leader="none"/>
        </w:tabs>
      </w:pPr>
      <w:rPr>
        <w:rFonts w:ascii="Symbol" w:hAnsi="Symbol"/>
        <w:color w:val="auto"/>
      </w:rPr>
    </w:lvl>
    <w:lvl w:ilvl="2" w:tplc="7CFA669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5">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6">
    <w:nsid w:val="58ED4370"/>
    <w:multiLevelType w:val="multilevel"/>
    <w:lvl w:ilvl="0">
      <w:start w:val="9"/>
      <w:numFmt w:val="decimal"/>
      <w:suff w:val="tab"/>
      <w:lvlText w:val="%1."/>
      <w:lvlJc w:val="left"/>
      <w:pPr>
        <w:ind w:hanging="284" w:left="284"/>
        <w:tabs>
          <w:tab w:val="left" w:pos="284"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5B4A5D26"/>
    <w:multiLevelType w:val="hybridMultilevel"/>
    <w:lvl w:ilvl="0" w:tplc="47AE5B3D">
      <w:start w:val="1"/>
      <w:numFmt w:val="bullet"/>
      <w:suff w:val="tab"/>
      <w:lvlText w:val=""/>
      <w:lvlJc w:val="left"/>
      <w:pPr>
        <w:ind w:hanging="283" w:left="680"/>
        <w:tabs>
          <w:tab w:val="left" w:pos="323" w:leader="none"/>
        </w:tabs>
      </w:pPr>
      <w:rPr>
        <w:rFonts w:ascii="Symbol" w:hAnsi="Symbol"/>
        <w:color w:val="auto"/>
        <w:sz w:val="20"/>
      </w:rPr>
    </w:lvl>
    <w:lvl w:ilvl="1" w:tplc="37F62199">
      <w:start w:val="1"/>
      <w:numFmt w:val="bullet"/>
      <w:suff w:val="tab"/>
      <w:lvlText w:val=""/>
      <w:lvlJc w:val="left"/>
      <w:pPr>
        <w:ind w:hanging="284" w:left="851"/>
        <w:tabs>
          <w:tab w:val="left" w:pos="851" w:leader="none"/>
        </w:tabs>
      </w:pPr>
      <w:rPr>
        <w:rFonts w:ascii="Symbol" w:hAnsi="Symbol"/>
        <w:color w:val="auto"/>
      </w:rPr>
    </w:lvl>
    <w:lvl w:ilvl="2" w:tplc="472E93B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8">
    <w:nsid w:val="5D887C1D"/>
    <w:multiLevelType w:val="multilevel"/>
    <w:lvl w:ilvl="0">
      <w:start w:val="9"/>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9">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4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41">
    <w:nsid w:val="6B666B95"/>
    <w:multiLevelType w:val="hybridMultilevel"/>
    <w:lvl w:ilvl="0" w:tplc="6EDD30E7">
      <w:start w:val="0"/>
      <w:numFmt w:val="bullet"/>
      <w:suff w:val="tab"/>
      <w:lvlText w:val="-"/>
      <w:lvlJc w:val="left"/>
      <w:pPr>
        <w:ind w:hanging="360" w:left="720"/>
        <w:tabs>
          <w:tab w:val="left" w:pos="720" w:leader="none"/>
        </w:tabs>
      </w:pPr>
      <w:rPr>
        <w:rFonts w:ascii="Times New Roman" w:hAnsi="Times New Roman"/>
      </w:rPr>
    </w:lvl>
    <w:lvl w:ilvl="1" w:tplc="3283D0FD">
      <w:start w:val="1"/>
      <w:numFmt w:val="bullet"/>
      <w:suff w:val="tab"/>
      <w:lvlText w:val="o"/>
      <w:lvlJc w:val="left"/>
      <w:pPr>
        <w:ind w:hanging="360" w:left="1440"/>
        <w:tabs>
          <w:tab w:val="left" w:pos="1440" w:leader="none"/>
        </w:tabs>
      </w:pPr>
      <w:rPr>
        <w:rFonts w:ascii="Courier New" w:hAnsi="Courier New"/>
      </w:rPr>
    </w:lvl>
    <w:lvl w:ilvl="2" w:tplc="286D7A84">
      <w:start w:val="1"/>
      <w:numFmt w:val="bullet"/>
      <w:suff w:val="tab"/>
      <w:lvlText w:val=""/>
      <w:lvlJc w:val="left"/>
      <w:pPr>
        <w:ind w:hanging="360" w:left="2160"/>
        <w:tabs>
          <w:tab w:val="left" w:pos="2160" w:leader="none"/>
        </w:tabs>
      </w:pPr>
      <w:rPr>
        <w:rFonts w:ascii="Wingdings" w:hAnsi="Wingdings"/>
      </w:rPr>
    </w:lvl>
    <w:lvl w:ilvl="3" w:tplc="1D976B83">
      <w:start w:val="1"/>
      <w:numFmt w:val="bullet"/>
      <w:suff w:val="tab"/>
      <w:lvlText w:val=""/>
      <w:lvlJc w:val="left"/>
      <w:pPr>
        <w:ind w:hanging="360" w:left="2880"/>
        <w:tabs>
          <w:tab w:val="left" w:pos="2880" w:leader="none"/>
        </w:tabs>
      </w:pPr>
      <w:rPr>
        <w:rFonts w:ascii="Symbol" w:hAnsi="Symbol"/>
      </w:rPr>
    </w:lvl>
    <w:lvl w:ilvl="4" w:tplc="2B783886">
      <w:start w:val="1"/>
      <w:numFmt w:val="bullet"/>
      <w:suff w:val="tab"/>
      <w:lvlText w:val="o"/>
      <w:lvlJc w:val="left"/>
      <w:pPr>
        <w:ind w:hanging="360" w:left="3600"/>
        <w:tabs>
          <w:tab w:val="left" w:pos="3600" w:leader="none"/>
        </w:tabs>
      </w:pPr>
      <w:rPr>
        <w:rFonts w:ascii="Courier New" w:hAnsi="Courier New"/>
      </w:rPr>
    </w:lvl>
    <w:lvl w:ilvl="5" w:tplc="56B22577">
      <w:start w:val="1"/>
      <w:numFmt w:val="bullet"/>
      <w:suff w:val="tab"/>
      <w:lvlText w:val=""/>
      <w:lvlJc w:val="left"/>
      <w:pPr>
        <w:ind w:hanging="360" w:left="4320"/>
        <w:tabs>
          <w:tab w:val="left" w:pos="4320" w:leader="none"/>
        </w:tabs>
      </w:pPr>
      <w:rPr>
        <w:rFonts w:ascii="Wingdings" w:hAnsi="Wingdings"/>
      </w:rPr>
    </w:lvl>
    <w:lvl w:ilvl="6" w:tplc="3ABD1080">
      <w:start w:val="1"/>
      <w:numFmt w:val="bullet"/>
      <w:suff w:val="tab"/>
      <w:lvlText w:val=""/>
      <w:lvlJc w:val="left"/>
      <w:pPr>
        <w:ind w:hanging="360" w:left="5040"/>
        <w:tabs>
          <w:tab w:val="left" w:pos="5040" w:leader="none"/>
        </w:tabs>
      </w:pPr>
      <w:rPr>
        <w:rFonts w:ascii="Symbol" w:hAnsi="Symbol"/>
      </w:rPr>
    </w:lvl>
    <w:lvl w:ilvl="7" w:tplc="3F78B93B">
      <w:start w:val="1"/>
      <w:numFmt w:val="bullet"/>
      <w:suff w:val="tab"/>
      <w:lvlText w:val="o"/>
      <w:lvlJc w:val="left"/>
      <w:pPr>
        <w:ind w:hanging="360" w:left="5760"/>
        <w:tabs>
          <w:tab w:val="left" w:pos="5760" w:leader="none"/>
        </w:tabs>
      </w:pPr>
      <w:rPr>
        <w:rFonts w:ascii="Courier New" w:hAnsi="Courier New"/>
      </w:rPr>
    </w:lvl>
    <w:lvl w:ilvl="8" w:tplc="10E4121E">
      <w:start w:val="1"/>
      <w:numFmt w:val="bullet"/>
      <w:suff w:val="tab"/>
      <w:lvlText w:val=""/>
      <w:lvlJc w:val="left"/>
      <w:pPr>
        <w:ind w:hanging="360" w:left="6480"/>
        <w:tabs>
          <w:tab w:val="left" w:pos="6480" w:leader="none"/>
        </w:tabs>
      </w:pPr>
      <w:rPr>
        <w:rFonts w:ascii="Wingdings" w:hAnsi="Wingdings"/>
      </w:rPr>
    </w:lvl>
  </w:abstractNum>
  <w:abstractNum w:abstractNumId="42">
    <w:nsid w:val="6CD922A2"/>
    <w:multiLevelType w:val="multilevel"/>
    <w:lvl w:ilvl="0">
      <w:start w:val="9"/>
      <w:numFmt w:val="decimal"/>
      <w:suff w:val="tab"/>
      <w:lvlText w:val="%1."/>
      <w:lvlJc w:val="left"/>
      <w:pPr>
        <w:ind w:hanging="284" w:left="284"/>
        <w:tabs>
          <w:tab w:val="left" w:pos="284"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3">
    <w:nsid w:val="72087AF4"/>
    <w:multiLevelType w:val="hybridMultilevel"/>
    <w:lvl w:ilvl="0">
      <w:start w:val="1"/>
      <w:numFmt w:val="decimal"/>
      <w:suff w:val="tab"/>
      <w:lvlText w:val="%1)"/>
      <w:lvlJc w:val="left"/>
      <w:pPr>
        <w:ind w:hanging="360" w:left="360"/>
        <w:tabs>
          <w:tab w:val="left" w:pos="360" w:leader="none"/>
        </w:tabs>
      </w:pPr>
      <w:rPr/>
    </w:lvl>
    <w:lvl w:ilvl="1" w:tplc="113D1C8B">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44">
    <w:nsid w:val="73E9783C"/>
    <w:multiLevelType w:val="multilevel"/>
    <w:lvl w:ilvl="0">
      <w:start w:val="9"/>
      <w:numFmt w:val="decimal"/>
      <w:suff w:val="tab"/>
      <w:lvlText w:val="%1."/>
      <w:lvlJc w:val="left"/>
      <w:pPr>
        <w:ind w:hanging="284" w:left="284"/>
        <w:tabs>
          <w:tab w:val="left" w:pos="284"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2"/>
  </w:num>
  <w:num w:numId="12">
    <w:abstractNumId w:val="32"/>
  </w:num>
  <w:num w:numId="13">
    <w:abstractNumId w:val="8"/>
  </w:num>
  <w:num w:numId="14">
    <w:abstractNumId w:val="37"/>
  </w:num>
  <w:num w:numId="15">
    <w:abstractNumId w:val="34"/>
  </w:num>
  <w:num w:numId="16">
    <w:abstractNumId w:val="14"/>
  </w:num>
  <w:num w:numId="17">
    <w:abstractNumId w:val="15"/>
  </w:num>
  <w:num w:numId="18">
    <w:abstractNumId w:val="43"/>
  </w:num>
  <w:num w:numId="19">
    <w:abstractNumId w:val="31"/>
  </w:num>
  <w:num w:numId="20">
    <w:abstractNumId w:val="27"/>
  </w:num>
  <w:num w:numId="21">
    <w:abstractNumId w:val="40"/>
  </w:num>
  <w:num w:numId="22">
    <w:abstractNumId w:val="33"/>
  </w:num>
  <w:num w:numId="23">
    <w:abstractNumId w:val="29"/>
  </w:num>
  <w:num w:numId="24">
    <w:abstractNumId w:val="20"/>
  </w:num>
  <w:num w:numId="25">
    <w:abstractNumId w:val="19"/>
  </w:num>
  <w:num w:numId="26">
    <w:abstractNumId w:val="23"/>
  </w:num>
  <w:num w:numId="27">
    <w:abstractNumId w:val="39"/>
  </w:num>
  <w:num w:numId="28">
    <w:abstractNumId w:val="13"/>
  </w:num>
  <w:num w:numId="29">
    <w:abstractNumId w:val="35"/>
  </w:num>
  <w:num w:numId="30">
    <w:abstractNumId w:val="28"/>
  </w:num>
  <w:num w:numId="31">
    <w:abstractNumId w:val="25"/>
  </w:num>
  <w:num w:numId="32">
    <w:abstractNumId w:val="11"/>
  </w:num>
  <w:num w:numId="33">
    <w:abstractNumId w:val="41"/>
  </w:num>
  <w:num w:numId="34">
    <w:abstractNumId w:val="30"/>
  </w:num>
  <w:num w:numId="35">
    <w:abstractNumId w:val="36"/>
  </w:num>
  <w:num w:numId="36">
    <w:abstractNumId w:val="12"/>
  </w:num>
  <w:num w:numId="37">
    <w:abstractNumId w:val="10"/>
  </w:num>
  <w:num w:numId="38">
    <w:abstractNumId w:val="16"/>
  </w:num>
  <w:num w:numId="39">
    <w:abstractNumId w:val="18"/>
  </w:num>
  <w:num w:numId="40">
    <w:abstractNumId w:val="17"/>
  </w:num>
  <w:num w:numId="41">
    <w:abstractNumId w:val="26"/>
  </w:num>
  <w:num w:numId="42">
    <w:abstractNumId w:val="38"/>
  </w:num>
  <w:num w:numId="43">
    <w:abstractNumId w:val="24"/>
  </w:num>
  <w:num w:numId="44">
    <w:abstractNumId w:val="44"/>
  </w:num>
  <w:num w:numId="45">
    <w:abstractNumId w:val="42"/>
  </w:num>
  <w:num w:numId="46">
    <w:abstractNumId w:val="21"/>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FR3"/>
    <w:next w:val="P2"/>
    <w:pPr>
      <w:widowControl w:val="0"/>
      <w:jc w:val="both"/>
    </w:pPr>
    <w:rPr>
      <w:rFonts w:ascii="Arial" w:hAnsi="Arial"/>
      <w:sz w:val="28"/>
    </w:rPr>
  </w:style>
  <w:style w:type="paragraph" w:styleId="P3">
    <w:name w:val="Heading 1"/>
    <w:basedOn w:val="P0"/>
    <w:next w:val="P0"/>
    <w:pPr>
      <w:keepNext w:val="1"/>
      <w:spacing w:before="240" w:after="60"/>
      <w:outlineLvl w:val="0"/>
    </w:pPr>
    <w:rPr>
      <w:rFonts w:ascii="Arial" w:hAnsi="Arial"/>
      <w:b w:val="1"/>
      <w:sz w:val="32"/>
    </w:rPr>
  </w:style>
  <w:style w:type="paragraph" w:styleId="P4">
    <w:name w:val="Heading 2"/>
    <w:basedOn w:val="P0"/>
    <w:next w:val="P0"/>
    <w:pPr>
      <w:keepNext w:val="1"/>
      <w:spacing w:before="240" w:after="60"/>
      <w:outlineLvl w:val="1"/>
    </w:pPr>
    <w:rPr>
      <w:rFonts w:ascii="Arial" w:hAnsi="Arial"/>
      <w:b w:val="1"/>
      <w:i w:val="1"/>
      <w:sz w:val="28"/>
    </w:rPr>
  </w:style>
  <w:style w:type="paragraph" w:styleId="P5">
    <w:name w:val="Heading 3"/>
    <w:basedOn w:val="P0"/>
    <w:next w:val="P0"/>
    <w:pPr>
      <w:keepNext w:val="1"/>
      <w:spacing w:before="240" w:after="60"/>
      <w:outlineLvl w:val="2"/>
    </w:pPr>
    <w:rPr>
      <w:rFonts w:ascii="Arial" w:hAnsi="Arial"/>
      <w:b w:val="1"/>
      <w:sz w:val="26"/>
    </w:rPr>
  </w:style>
  <w:style w:type="paragraph" w:styleId="P6">
    <w:name w:val="Heading 4"/>
    <w:basedOn w:val="P0"/>
    <w:next w:val="P0"/>
    <w:pPr>
      <w:keepNext w:val="1"/>
      <w:outlineLvl w:val="3"/>
    </w:pPr>
    <w:rPr>
      <w:sz w:val="52"/>
    </w:rPr>
  </w:style>
  <w:style w:type="paragraph" w:styleId="P7">
    <w:name w:val="Heading 5"/>
    <w:basedOn w:val="P0"/>
    <w:next w:val="P0"/>
    <w:pPr>
      <w:spacing w:before="240" w:after="60"/>
      <w:outlineLvl w:val="4"/>
    </w:pPr>
    <w:rPr>
      <w:b w:val="1"/>
      <w:i w:val="1"/>
      <w:sz w:val="26"/>
    </w:rPr>
  </w:style>
  <w:style w:type="paragraph" w:styleId="P8">
    <w:name w:val="Heading 6"/>
    <w:basedOn w:val="P0"/>
    <w:next w:val="P0"/>
    <w:pPr>
      <w:spacing w:before="240" w:after="60"/>
      <w:outlineLvl w:val="5"/>
    </w:pPr>
    <w:rPr>
      <w:rFonts w:ascii="Times New Roman" w:hAnsi="Times New Roman"/>
      <w:b w:val="1"/>
      <w:sz w:val="22"/>
    </w:rPr>
  </w:style>
  <w:style w:type="paragraph" w:styleId="P9">
    <w:name w:val="Heading 7"/>
    <w:basedOn w:val="P0"/>
    <w:next w:val="P0"/>
    <w:pPr>
      <w:spacing w:before="240" w:after="60"/>
      <w:outlineLvl w:val="6"/>
    </w:pPr>
    <w:rPr/>
  </w:style>
  <w:style w:type="paragraph" w:styleId="P10">
    <w:name w:val="Heading 8"/>
    <w:basedOn w:val="P0"/>
    <w:next w:val="P0"/>
    <w:pPr>
      <w:spacing w:before="240" w:after="60"/>
      <w:outlineLvl w:val="7"/>
    </w:pPr>
    <w:rPr>
      <w:rFonts w:ascii="Times New Roman" w:hAnsi="Times New Roman"/>
      <w:i w:val="1"/>
      <w:sz w:val="24"/>
    </w:rPr>
  </w:style>
  <w:style w:type="paragraph" w:styleId="P11">
    <w:name w:val="Title"/>
    <w:basedOn w:val="P0"/>
    <w:next w:val="P11"/>
    <w:pPr>
      <w:spacing w:before="240" w:after="60"/>
      <w:jc w:val="center"/>
      <w:outlineLvl w:val="0"/>
    </w:pPr>
    <w:rPr>
      <w:rFonts w:ascii="Arial" w:hAnsi="Arial"/>
      <w:b w:val="1"/>
      <w:sz w:val="32"/>
    </w:rPr>
  </w:style>
  <w:style w:type="paragraph" w:styleId="P12">
    <w:name w:val="Caption"/>
    <w:basedOn w:val="P0"/>
    <w:next w:val="P0"/>
    <w:pPr/>
    <w:rPr>
      <w:b w:val="1"/>
      <w:sz w:val="20"/>
    </w:rPr>
  </w:style>
  <w:style w:type="paragraph" w:styleId="P13">
    <w:name w:val="Podnaslov sopstenja"/>
    <w:basedOn w:val="P0"/>
    <w:next w:val="P13"/>
    <w:pPr>
      <w:spacing w:after="120"/>
      <w:jc w:val="center"/>
    </w:pPr>
    <w:rPr>
      <w:b w:val="1"/>
      <w:sz w:val="22"/>
    </w:rPr>
  </w:style>
  <w:style w:type="paragraph" w:styleId="P14">
    <w:name w:val="Subtitle"/>
    <w:basedOn w:val="P0"/>
    <w:next w:val="P14"/>
    <w:pPr>
      <w:spacing w:after="60"/>
      <w:jc w:val="center"/>
      <w:outlineLvl w:val="1"/>
    </w:pPr>
    <w:rPr>
      <w:rFonts w:ascii="Arial" w:hAnsi="Arial"/>
    </w:rPr>
  </w:style>
  <w:style w:type="paragraph" w:styleId="P15">
    <w:name w:val="Naslov Metodologija i Napomena"/>
    <w:basedOn w:val="P0"/>
    <w:next w:val="P15"/>
    <w:pPr>
      <w:spacing w:before="120" w:after="240"/>
      <w:jc w:val="center"/>
    </w:pPr>
    <w:rPr>
      <w:b w:val="1"/>
    </w:rPr>
  </w:style>
  <w:style w:type="paragraph" w:styleId="P16">
    <w:name w:val="Body Text"/>
    <w:basedOn w:val="P0"/>
    <w:next w:val="P16"/>
    <w:pPr>
      <w:spacing w:after="120"/>
    </w:pPr>
    <w:rPr/>
  </w:style>
  <w:style w:type="paragraph" w:styleId="P17">
    <w:name w:val="List Number"/>
    <w:basedOn w:val="P0"/>
    <w:next w:val="P17"/>
    <w:pPr>
      <w:numPr>
        <w:numId w:val="13"/>
      </w:numPr>
    </w:pPr>
    <w:rPr/>
  </w:style>
  <w:style w:type="paragraph" w:styleId="P18">
    <w:name w:val="Body Text Indent"/>
    <w:basedOn w:val="P0"/>
    <w:next w:val="P18"/>
    <w:pPr>
      <w:spacing w:after="120"/>
      <w:ind w:left="283"/>
    </w:pPr>
    <w:rPr/>
  </w:style>
  <w:style w:type="paragraph" w:styleId="P19">
    <w:name w:val="Body Text Indent 2"/>
    <w:basedOn w:val="P0"/>
    <w:next w:val="P19"/>
    <w:pPr>
      <w:spacing w:lineRule="auto" w:line="480" w:after="120"/>
      <w:ind w:left="283"/>
    </w:pPr>
    <w:rPr/>
  </w:style>
  <w:style w:type="paragraph" w:styleId="P20">
    <w:name w:val="Body Text 3"/>
    <w:basedOn w:val="P0"/>
    <w:next w:val="P20"/>
    <w:pPr>
      <w:spacing w:after="120"/>
    </w:pPr>
    <w:rPr>
      <w:sz w:val="16"/>
    </w:rPr>
  </w:style>
  <w:style w:type="paragraph" w:styleId="P21">
    <w:name w:val="Body Text Indent 3"/>
    <w:basedOn w:val="P0"/>
    <w:next w:val="P21"/>
    <w:pPr>
      <w:spacing w:after="120"/>
      <w:ind w:left="283"/>
    </w:pPr>
    <w:rPr>
      <w:sz w:val="16"/>
    </w:rPr>
  </w:style>
  <w:style w:type="paragraph" w:styleId="P22">
    <w:name w:val="Balloon Text"/>
    <w:basedOn w:val="P0"/>
    <w:next w:val="P22"/>
    <w:pPr/>
    <w:rPr>
      <w:rFonts w:ascii="Tahoma" w:hAnsi="Tahoma"/>
      <w:sz w:val="16"/>
    </w:rPr>
  </w:style>
  <w:style w:type="paragraph" w:styleId="P23">
    <w:name w:val="Body Text 2"/>
    <w:basedOn w:val="P0"/>
    <w:next w:val="P23"/>
    <w:pPr>
      <w:spacing w:lineRule="auto" w:line="480" w:after="120"/>
    </w:pPr>
    <w:rPr/>
  </w:style>
  <w:style w:type="paragraph" w:styleId="P24">
    <w:name w:val="Normal Indent"/>
    <w:basedOn w:val="P0"/>
    <w:next w:val="P24"/>
    <w:pPr>
      <w:ind w:left="720"/>
    </w:pPr>
    <w:rPr/>
  </w:style>
  <w:style w:type="paragraph" w:styleId="P25">
    <w:name w:val="Naslov tabela"/>
    <w:basedOn w:val="P0"/>
    <w:next w:val="P25"/>
    <w:pPr>
      <w:numPr>
        <w:numId w:val="13"/>
      </w:numPr>
      <w:tabs>
        <w:tab w:val="left" w:pos="284" w:leader="none"/>
        <w:tab w:val="clear" w:pos="360" w:leader="none"/>
      </w:tabs>
      <w:spacing w:before="120" w:after="120"/>
      <w:ind w:hanging="284" w:left="284"/>
      <w:jc w:val="center"/>
    </w:pPr>
    <w:rPr>
      <w:b w:val="1"/>
    </w:rPr>
  </w:style>
  <w:style w:type="paragraph" w:styleId="P26">
    <w:name w:val="Tabela-Zaglavlje"/>
    <w:basedOn w:val="P0"/>
    <w:next w:val="P26"/>
    <w:pPr>
      <w:jc w:val="center"/>
    </w:pPr>
    <w:rPr>
      <w:rFonts w:ascii="Arial" w:hAnsi="Arial"/>
      <w:sz w:val="16"/>
    </w:rPr>
  </w:style>
  <w:style w:type="paragraph" w:styleId="P27">
    <w:name w:val="Tabela-Pretkolona"/>
    <w:basedOn w:val="P0"/>
    <w:next w:val="P27"/>
    <w:pPr/>
    <w:rPr>
      <w:rFonts w:ascii="Arial" w:hAnsi="Arial"/>
      <w:sz w:val="16"/>
    </w:rPr>
  </w:style>
  <w:style w:type="paragraph" w:styleId="P28">
    <w:name w:val="Tabela-PretkolonaI"/>
    <w:basedOn w:val="P0"/>
    <w:next w:val="P28"/>
    <w:pPr/>
    <w:rPr>
      <w:rFonts w:ascii="Arial" w:hAnsi="Arial"/>
      <w:i w:val="1"/>
      <w:sz w:val="16"/>
    </w:rPr>
  </w:style>
  <w:style w:type="paragraph" w:styleId="P29">
    <w:name w:val="Tabela-PretkolonaB"/>
    <w:basedOn w:val="P0"/>
    <w:next w:val="P29"/>
    <w:pPr/>
    <w:rPr>
      <w:rFonts w:ascii="Arial" w:hAnsi="Arial"/>
      <w:b w:val="1"/>
      <w:sz w:val="16"/>
    </w:rPr>
  </w:style>
  <w:style w:type="paragraph" w:styleId="P30">
    <w:name w:val="Tabela-Brojevi"/>
    <w:basedOn w:val="P0"/>
    <w:next w:val="P30"/>
    <w:pPr>
      <w:jc w:val="right"/>
    </w:pPr>
    <w:rPr>
      <w:rFonts w:ascii="Arial" w:hAnsi="Arial"/>
      <w:sz w:val="16"/>
    </w:rPr>
  </w:style>
  <w:style w:type="paragraph" w:styleId="P31">
    <w:name w:val="Footnote Text"/>
    <w:basedOn w:val="P0"/>
    <w:next w:val="P31"/>
    <w:pPr/>
    <w:rPr>
      <w:sz w:val="20"/>
    </w:rPr>
  </w:style>
  <w:style w:type="paragraph" w:styleId="P32">
    <w:name w:val="Tabela-BrojeviI"/>
    <w:basedOn w:val="P0"/>
    <w:next w:val="P32"/>
    <w:pPr>
      <w:jc w:val="right"/>
    </w:pPr>
    <w:rPr>
      <w:rFonts w:ascii="Arial" w:hAnsi="Arial"/>
      <w:i w:val="1"/>
      <w:sz w:val="16"/>
    </w:rPr>
  </w:style>
  <w:style w:type="paragraph" w:styleId="P33">
    <w:name w:val="Tabela-BrojeviB"/>
    <w:basedOn w:val="P0"/>
    <w:next w:val="P33"/>
    <w:pPr>
      <w:jc w:val="right"/>
    </w:pPr>
    <w:rPr>
      <w:rFonts w:ascii="Arial" w:hAnsi="Arial"/>
      <w:b w:val="1"/>
      <w:sz w:val="16"/>
    </w:rPr>
  </w:style>
  <w:style w:type="paragraph" w:styleId="P34">
    <w:name w:val="Fusnota-Broj1"/>
    <w:basedOn w:val="P0"/>
    <w:next w:val="P34"/>
    <w:pPr>
      <w:tabs>
        <w:tab w:val="left" w:pos="360" w:leader="none"/>
      </w:tabs>
      <w:ind w:hanging="360" w:left="360"/>
    </w:pPr>
    <w:rPr>
      <w:sz w:val="14"/>
      <w:vertAlign w:val="superscript"/>
    </w:rPr>
  </w:style>
  <w:style w:type="paragraph" w:styleId="P35">
    <w:name w:val="Fusnota-Tekst1"/>
    <w:basedOn w:val="P0"/>
    <w:next w:val="P35"/>
    <w:pPr/>
    <w:rPr>
      <w:sz w:val="14"/>
    </w:rPr>
  </w:style>
  <w:style w:type="paragraph" w:styleId="P36">
    <w:name w:val="Naslov grafikona"/>
    <w:basedOn w:val="P0"/>
    <w:next w:val="P0"/>
    <w:pPr>
      <w:framePr w:wrap="around" w:vAnchor="page" w:hAnchor="margin" w:x="-4" w:y="14176"/>
      <w:spacing w:before="120" w:after="120"/>
      <w:jc w:val="center"/>
    </w:pPr>
    <w:rPr>
      <w:b w:val="1"/>
    </w:rPr>
  </w:style>
  <w:style w:type="paragraph" w:styleId="P37">
    <w:name w:val="Header"/>
    <w:basedOn w:val="P0"/>
    <w:next w:val="P37"/>
    <w:pPr>
      <w:tabs>
        <w:tab w:val="center" w:pos="4320" w:leader="none"/>
        <w:tab w:val="right" w:pos="8640" w:leader="none"/>
      </w:tabs>
    </w:pPr>
    <w:rPr/>
  </w:style>
  <w:style w:type="paragraph" w:styleId="P38">
    <w:name w:val="Footer"/>
    <w:basedOn w:val="P0"/>
    <w:next w:val="P38"/>
    <w:pPr>
      <w:tabs>
        <w:tab w:val="center" w:pos="4320" w:leader="none"/>
        <w:tab w:val="right" w:pos="8640" w:leader="none"/>
      </w:tabs>
    </w:pPr>
    <w:rPr/>
  </w:style>
  <w:style w:type="paragraph" w:styleId="P39">
    <w:name w:val="xl24"/>
    <w:basedOn w:val="P0"/>
    <w:next w:val="P39"/>
    <w:pPr>
      <w:spacing w:before="100" w:after="100" w:beforeAutospacing="1" w:afterAutospacing="1"/>
      <w:jc w:val="right"/>
    </w:pPr>
    <w:rPr>
      <w:sz w:val="14"/>
    </w:rPr>
  </w:style>
  <w:style w:type="paragraph" w:styleId="P40">
    <w:name w:val="xl25"/>
    <w:basedOn w:val="P0"/>
    <w:next w:val="P40"/>
    <w:pPr>
      <w:spacing w:before="100" w:after="100" w:beforeAutospacing="1" w:afterAutospacing="1"/>
      <w:jc w:val="right"/>
    </w:pPr>
    <w:rPr>
      <w:b w:val="1"/>
      <w:sz w:val="14"/>
    </w:rPr>
  </w:style>
  <w:style w:type="paragraph" w:styleId="P41">
    <w:name w:val="xl26"/>
    <w:basedOn w:val="P0"/>
    <w:next w:val="P41"/>
    <w:pPr>
      <w:spacing w:before="100" w:after="100" w:beforeAutospacing="1" w:afterAutospacing="1"/>
    </w:pPr>
    <w:rPr>
      <w:b w:val="1"/>
      <w:sz w:val="14"/>
    </w:rPr>
  </w:style>
  <w:style w:type="paragraph" w:styleId="P42">
    <w:name w:val="xl27"/>
    <w:basedOn w:val="P0"/>
    <w:next w:val="P42"/>
    <w:pPr>
      <w:spacing w:before="100" w:after="100" w:beforeAutospacing="1" w:afterAutospacing="1"/>
      <w:jc w:val="right"/>
    </w:pPr>
    <w:rPr>
      <w:sz w:val="14"/>
    </w:rPr>
  </w:style>
  <w:style w:type="paragraph" w:styleId="P43">
    <w:name w:val="xl28"/>
    <w:basedOn w:val="P0"/>
    <w:next w:val="P43"/>
    <w:pPr>
      <w:spacing w:before="100" w:after="100" w:beforeAutospacing="1" w:afterAutospacing="1"/>
    </w:pPr>
    <w:rPr>
      <w:b w:val="1"/>
      <w:sz w:val="14"/>
    </w:rPr>
  </w:style>
  <w:style w:type="paragraph" w:styleId="P44">
    <w:name w:val="Naslov saopstenja"/>
    <w:basedOn w:val="P11"/>
    <w:next w:val="P12"/>
    <w:pPr>
      <w:spacing w:after="0"/>
    </w:pPr>
    <w:rPr>
      <w:sz w:val="24"/>
    </w:rPr>
  </w:style>
  <w:style w:type="paragraph" w:styleId="P45">
    <w:name w:val="Body Text First Indent"/>
    <w:basedOn w:val="P16"/>
    <w:next w:val="P45"/>
    <w:pPr>
      <w:ind w:firstLine="210"/>
    </w:pPr>
    <w:rPr/>
  </w:style>
  <w:style w:type="paragraph" w:styleId="P46">
    <w:name w:val="Body Text First Indent 2"/>
    <w:basedOn w:val="P18"/>
    <w:next w:val="P46"/>
    <w:pPr>
      <w:ind w:firstLine="210"/>
    </w:pPr>
    <w:rPr/>
  </w:style>
  <w:style w:type="paragraph" w:styleId="P47">
    <w:name w:val="Tekst Metodologija i Napomena"/>
    <w:basedOn w:val="P45"/>
    <w:next w:val="P16"/>
    <w:pPr>
      <w:spacing w:before="120" w:after="0"/>
      <w:ind w:firstLine="397"/>
      <w:jc w:val="both"/>
    </w:pPr>
    <w:rPr/>
  </w:style>
  <w:style w:type="paragraph" w:styleId="P48">
    <w:name w:val="Style Pasus + First line:  06 cm Before:  0 pt After:  0 pt"/>
    <w:basedOn w:val="P47"/>
    <w:next w:val="P48"/>
    <w:pPr>
      <w:spacing w:before="0" w:after="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Page Number"/>
    <w:basedOn w:val="C0"/>
    <w:rPr/>
  </w:style>
  <w:style w:type="character" w:styleId="C5">
    <w:name w:val="Footnote Reference"/>
    <w:basedOn w:val="C0"/>
    <w:rPr>
      <w:vertAlign w:val="superscript"/>
    </w:rPr>
  </w:style>
  <w:style w:type="character" w:styleId="C6">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2013-07-19T10:30:00Z</dcterms:created>
  <cp:lastModifiedBy>Nikola Kapetanovic</cp:lastModifiedBy>
  <cp:lastPrinted>2012-07-12T12:28:00Z</cp:lastPrinted>
  <dcterms:modified xsi:type="dcterms:W3CDTF">2020-01-10T11:42:35Z</dcterms:modified>
  <cp:revision>6</cp:revision>
  <dc:title>                  </dc:title>
</cp:coreProperties>
</file>