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A2FE31" Type="http://schemas.openxmlformats.org/officeDocument/2006/relationships/officeDocument" Target="/word/document.xml" /><Relationship Id="coreR5BA2FE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STATISTICAL RELEASE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SV30</w:t>
            </w:r>
          </w:p>
        </w:tc>
      </w:tr>
      <w:tr>
        <w:trPr>
          <w:wAfter w:w="0" w:type="dxa"/>
          <w:trHeight w:hRule="exact" w:val="279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bottom"/>
          </w:tcPr>
          <w:p>
            <w:r>
              <w:t>Number 145 • Year LXIII, 31/05/2013</w:t>
            </w:r>
          </w:p>
        </w:tc>
        <w:tc>
          <w:tcPr>
            <w:tcW w:w="1628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3372" w:type="pct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SERB145 SV30 310513</w:t>
            </w:r>
          </w:p>
        </w:tc>
      </w:tr>
    </w:tbl>
    <w:p>
      <w:pPr>
        <w:ind w:firstLine="720"/>
        <w:jc w:val="both"/>
        <w:rPr>
          <w:sz w:val="10"/>
        </w:rPr>
      </w:pPr>
    </w:p>
    <w:p>
      <w:pPr>
        <w:ind w:firstLine="720"/>
        <w:jc w:val="both"/>
        <w:rPr>
          <w:sz w:val="10"/>
        </w:rPr>
      </w:pPr>
    </w:p>
    <w:p>
      <w:pPr>
        <w:pStyle w:val="P6"/>
        <w:spacing w:lineRule="auto" w:line="228" w:before="600" w:after="0"/>
        <w:jc w:val="center"/>
        <w:rPr>
          <w:i w:val="0"/>
          <w:sz w:val="24"/>
        </w:rPr>
      </w:pPr>
      <w:r>
        <w:rPr>
          <w:i w:val="0"/>
          <w:sz w:val="24"/>
        </w:rPr>
        <w:t xml:space="preserve">Border traffic of passenger motor vehicles and passengers in the Republic of Serbia </w:t>
      </w:r>
    </w:p>
    <w:p>
      <w:pPr>
        <w:spacing w:before="120"/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F</w:t>
      </w:r>
      <w:r>
        <w:rPr>
          <w:b w:val="1"/>
          <w:sz w:val="22"/>
        </w:rPr>
        <w:t>irst</w:t>
      </w:r>
      <w:r>
        <w:rPr>
          <w:b w:val="1"/>
          <w:sz w:val="22"/>
        </w:rPr>
        <w:t xml:space="preserve"> quarter 201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–</w:t>
      </w:r>
      <w:r>
        <w:rPr>
          <w:b w:val="1"/>
          <w:sz w:val="22"/>
        </w:rPr>
        <w:t xml:space="preserve">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total number of passenger road motor vehicles that entered the Republic of Serbia in the first quarter 2013 increased by 0.4%, compared to the same period of the previous year. The number of vehicles registered in our country decreased by 1.4%, while the number of vehicles registered abroad increased by 1.6%. Among foreign vehicles, the largest number was registered in Bosnia and Herzegovina, 11.1%, then in Romania, 5.0% and in Hungary, 4.9%.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exit of passenger road motor vehicles from the Republic of Serbia increased by 0.3 % compared to the same period 2012. The exit of vehicles registered in the country decreased by 3.6%, while in the same period, the exit of vehicles with foreign registration plates increased by 3.0%. The largest number of vehicles was registered in Bosnia and Herzegovina, 10.2%, followed by vehicles registered in Hungary, 4.8% and in Romania, 4.5%.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entered Serbia by all modes of transport during the first quarter 2013 increased by 3.1% in comparison to the same period of the previous year. The number of passengers in vehicles registered in Serbia decreased by 0.2% and in vehicles with foreign registration plates it increased by 4.6%.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 xml:space="preserve">The total number of passengers that exited from Serbia in the first quarter 2013 decreased by 4.4% compared to the same quarter of the previous year. The number of passengers in domestic vehicles decreased by 3.7%, while the number of passengers in vehicles with foreign registration plates decreased by 4.7%.  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vehicles entered through the border crossings with Bosnia and Herzegovina, 43.5%, then with Croatia, 28.3%, and with Hungary, 23.9%. The largest number of vehicles entered Serbia through Batrovci, 19.2% border crossing, Horgos, 15.3%, and Presevo, 9.8%.</w:t>
      </w:r>
    </w:p>
    <w:p>
      <w:pPr>
        <w:ind w:firstLine="397"/>
        <w:jc w:val="both"/>
        <w:rPr>
          <w:sz w:val="18"/>
        </w:rPr>
      </w:pPr>
    </w:p>
    <w:p>
      <w:pPr>
        <w:ind w:firstLine="397"/>
        <w:jc w:val="both"/>
        <w:rPr>
          <w:sz w:val="18"/>
        </w:rPr>
      </w:pPr>
      <w:r>
        <w:rPr>
          <w:sz w:val="18"/>
        </w:rPr>
        <w:t>The largest number of passengers’ road motor vehicles exited through the border crossings with Bosnia and Herzegovina, 48.6%, then with Croatia, 28.1%, and with Hungary, 24.7%. Three border crossings with the most frequent traffic of passenger transport vehicles in exit from the Republic of Serbia were: Batrovci, 19.7%, then Mali Zvornik, 16.8%, and Horgos, 16.0%.</w:t>
      </w:r>
    </w:p>
    <w:p/>
    <w:p/>
    <w:p>
      <w:pPr>
        <w:pStyle w:val="P7"/>
        <w:spacing w:before="0" w:after="40"/>
        <w:jc w:val="center"/>
        <w:rPr>
          <w:rFonts w:ascii="Arial" w:hAnsi="Arial"/>
        </w:rPr>
      </w:pPr>
      <w:r>
        <w:rPr>
          <w:rFonts w:ascii="Arial" w:hAnsi="Arial"/>
          <w:sz w:val="20"/>
        </w:rPr>
        <w:t>1. Entry of passenger motor vehicles and passengers</w:t>
      </w:r>
    </w:p>
    <w:tbl>
      <w:tblPr>
        <w:tblStyle w:val="T2"/>
        <w:tblW w:w="4952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53" w:type="pct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1942" w:type="pct"/>
            <w:gridSpan w:val="5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quarter 2012</w:t>
            </w:r>
          </w:p>
        </w:tc>
        <w:tc>
          <w:tcPr>
            <w:tcW w:w="1943" w:type="pct"/>
            <w:gridSpan w:val="5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quarter 2013</w:t>
            </w:r>
          </w:p>
        </w:tc>
        <w:tc>
          <w:tcPr>
            <w:tcW w:w="362" w:type="pct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1485" w:type="pct"/>
            <w:gridSpan w:val="4"/>
            <w:vAlign w:val="center"/>
          </w:tcPr>
          <w:p>
            <w:pPr>
              <w:spacing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1486" w:type="pct"/>
            <w:gridSpan w:val="4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457" w:type="pct"/>
            <w:vMerge w:val="restart"/>
            <w:vAlign w:val="center"/>
          </w:tcPr>
          <w:p>
            <w:pPr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362" w:type="pct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9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2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41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371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296" w:type="pct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457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362" w:type="pct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9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2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03" w:type="pct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1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71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296" w:type="pct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457" w:type="pct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</w:p>
        </w:tc>
        <w:tc>
          <w:tcPr>
            <w:tcW w:w="362" w:type="pct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1022142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996300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25804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2114694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1026392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998299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28055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2180932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100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410187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399780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10388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644166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404579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393283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11284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642596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98.6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611955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596520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15416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1470528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621813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605016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16771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1538336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101.6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22601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22265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50130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23588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23333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49504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84142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83076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110525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69001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68038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91185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82.0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3160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2375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81.2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43831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43238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54035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30361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29700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44008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69.3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14050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13054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996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58951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21546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20575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971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67010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153.4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20666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20167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44056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18858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18414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39619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91.3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45024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44920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146385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30978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30878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93226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68.8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25988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25774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44769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8301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8133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16612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25711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24748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36935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25909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24662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40290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9828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9580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19775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5491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5363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13978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55.9</w:t>
            </w:r>
          </w:p>
        </w:tc>
      </w:tr>
      <w:tr>
        <w:trPr>
          <w:wAfter w:w="0" w:type="dxa"/>
        </w:trPr>
        <w:tc>
          <w:tcPr>
            <w:tcW w:w="753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318910</w:t>
            </w:r>
          </w:p>
        </w:tc>
        <w:tc>
          <w:tcPr>
            <w:tcW w:w="419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308494</w:t>
            </w:r>
          </w:p>
        </w:tc>
        <w:tc>
          <w:tcPr>
            <w:tcW w:w="37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10410</w:t>
            </w:r>
          </w:p>
        </w:tc>
        <w:tc>
          <w:tcPr>
            <w:tcW w:w="29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901808</w:t>
            </w:r>
          </w:p>
        </w:tc>
        <w:tc>
          <w:tcPr>
            <w:tcW w:w="403" w:type="pct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386802</w:t>
            </w:r>
          </w:p>
        </w:tc>
        <w:tc>
          <w:tcPr>
            <w:tcW w:w="41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374942</w:t>
            </w:r>
          </w:p>
        </w:tc>
        <w:tc>
          <w:tcPr>
            <w:tcW w:w="37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11846</w:t>
            </w:r>
          </w:p>
        </w:tc>
        <w:tc>
          <w:tcPr>
            <w:tcW w:w="296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5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1080530</w:t>
            </w:r>
          </w:p>
        </w:tc>
        <w:tc>
          <w:tcPr>
            <w:tcW w:w="362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121.3</w:t>
            </w:r>
          </w:p>
        </w:tc>
      </w:tr>
    </w:tbl>
    <w:p>
      <w:pPr>
        <w:jc w:val="center"/>
        <w:rPr>
          <w:sz w:val="12"/>
        </w:rPr>
      </w:pPr>
    </w:p>
    <w:p>
      <w:pPr>
        <w:pStyle w:val="P7"/>
        <w:spacing w:lineRule="auto" w:line="228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1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Exit of passenger motor vehicles and passengers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53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Country of registration</w:t>
            </w:r>
          </w:p>
        </w:tc>
        <w:tc>
          <w:tcPr>
            <w:tcW w:w="3945" w:type="dxa"/>
            <w:gridSpan w:val="5"/>
            <w:vAlign w:val="center"/>
          </w:tcPr>
          <w:p>
            <w:pPr>
              <w:spacing w:lineRule="auto" w:line="22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quarter 2012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I quarter 2013</w:t>
            </w:r>
          </w:p>
        </w:tc>
        <w:tc>
          <w:tcPr>
            <w:tcW w:w="737" w:type="dxa"/>
            <w:vMerge w:val="restart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Index</w:t>
            </w:r>
          </w:p>
          <w:p>
            <w:pPr>
              <w:spacing w:lineRule="auto" w:line="226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2013</w:t>
            </w:r>
          </w:p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3017" w:type="dxa"/>
            <w:gridSpan w:val="4"/>
            <w:vAlign w:val="center"/>
          </w:tcPr>
          <w:p>
            <w:pPr>
              <w:spacing w:lineRule="auto" w:line="226" w:before="40" w:after="4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Vehicles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Passen-gers</w:t>
            </w:r>
          </w:p>
        </w:tc>
        <w:tc>
          <w:tcPr>
            <w:tcW w:w="737" w:type="dxa"/>
            <w:vMerge w:val="continue"/>
            <w:tcBorders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591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591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820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852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75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605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Motor-cycles</w:t>
            </w:r>
          </w:p>
        </w:tc>
        <w:tc>
          <w:tcPr>
            <w:tcW w:w="605" w:type="nil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  <w:tc>
          <w:tcPr>
            <w:tcW w:w="737" w:type="dxa"/>
            <w:vMerge w:val="continue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jc w:val="center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75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591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82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85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753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60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928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73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1064393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1039010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25333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2091111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1095348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1067892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27370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1999970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</w:t>
            </w:r>
            <w:r>
              <w:rPr>
                <w:b w:val="1"/>
                <w:sz w:val="16"/>
              </w:rPr>
              <w:t>.</w:t>
            </w:r>
            <w:r>
              <w:rPr>
                <w:b w:val="1"/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Domestic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430376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419979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10374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657956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426309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414716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11581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633574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99.1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Foreign registration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634017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619031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14959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1433155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669039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653176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15789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1366396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23516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23240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40963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24101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23911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40367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Bosnia &amp; Herzegovina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83933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82831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109032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68497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67501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995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86630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81.6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1353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77.6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31463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30839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41634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32217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31528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44866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102.4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10729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9797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31797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8960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8218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25934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20880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20281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34732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17056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16762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25857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81.7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44073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43978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135924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30070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29974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87739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68.2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24144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23926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40081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7358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7174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13942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27005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26013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43337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28500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27344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42530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105.5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9735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9482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16064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4153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4041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7780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42.7</w:t>
            </w:r>
          </w:p>
        </w:tc>
      </w:tr>
      <w:tr>
        <w:trPr>
          <w:wAfter w:w="0" w:type="dxa"/>
        </w:trPr>
        <w:tc>
          <w:tcPr>
            <w:tcW w:w="15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left="113"/>
              <w:jc w:val="both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357657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347762</w:t>
            </w:r>
          </w:p>
        </w:tc>
        <w:tc>
          <w:tcPr>
            <w:tcW w:w="7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9881</w:t>
            </w:r>
          </w:p>
        </w:tc>
        <w:tc>
          <w:tcPr>
            <w:tcW w:w="5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937923</w:t>
            </w:r>
          </w:p>
        </w:tc>
        <w:tc>
          <w:tcPr>
            <w:tcW w:w="82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447443</w:t>
            </w:r>
          </w:p>
        </w:tc>
        <w:tc>
          <w:tcPr>
            <w:tcW w:w="8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436039</w:t>
            </w:r>
          </w:p>
        </w:tc>
        <w:tc>
          <w:tcPr>
            <w:tcW w:w="7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11343</w:t>
            </w:r>
          </w:p>
        </w:tc>
        <w:tc>
          <w:tcPr>
            <w:tcW w:w="60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2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989398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125.1</w:t>
            </w:r>
          </w:p>
        </w:tc>
      </w:tr>
    </w:tbl>
    <w:p>
      <w:pPr>
        <w:pStyle w:val="P7"/>
        <w:spacing w:lineRule="auto" w:line="226" w:before="0"/>
        <w:jc w:val="center"/>
        <w:rPr>
          <w:rFonts w:ascii="Arial" w:hAnsi="Arial"/>
          <w:sz w:val="20"/>
        </w:rPr>
      </w:pPr>
    </w:p>
    <w:p>
      <w:pPr>
        <w:pStyle w:val="P7"/>
        <w:spacing w:lineRule="auto" w:line="226" w:befor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Traffic of passengers motor vehicles, by border crossings                                                                                            – First quarter 2013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– 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1871" w:type="dxa"/>
            <w:vMerge w:val="restart"/>
            <w:tcBorders>
              <w:left w:val="none" w:sz="0" w:space="0" w:shadow="0" w:frame="0"/>
            </w:tcBorders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4172" w:type="dxa"/>
            <w:gridSpan w:val="4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Entry</w:t>
            </w:r>
          </w:p>
        </w:tc>
        <w:tc>
          <w:tcPr>
            <w:tcW w:w="4172" w:type="dxa"/>
            <w:gridSpan w:val="5"/>
            <w:tcBorders>
              <w:right w:val="none" w:sz="0" w:space="0" w:shadow="0" w:frame="0"/>
            </w:tcBorders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Exit</w:t>
            </w:r>
          </w:p>
        </w:tc>
      </w:tr>
      <w:tr>
        <w:trPr>
          <w:wAfter w:w="0" w:type="dxa"/>
        </w:trPr>
        <w:tc>
          <w:tcPr>
            <w:tcW w:w="187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All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Passenger cars</w:t>
            </w:r>
          </w:p>
        </w:tc>
        <w:tc>
          <w:tcPr>
            <w:tcW w:w="1043" w:type="dxa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Buses</w:t>
            </w:r>
          </w:p>
        </w:tc>
        <w:tc>
          <w:tcPr>
            <w:tcW w:w="1043" w:type="dxa"/>
            <w:gridSpan w:val="2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Total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769029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748707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20284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824333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804878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19369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6"/>
              <w:ind w:right="5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Bosnia &amp; Herzegovina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334418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327605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6803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400559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393558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6941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Mali Zvornik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67425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66083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138380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137110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Sremska Raca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57113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54266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47665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44721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2884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Kotroman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58358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57136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58095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56806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Trbušnica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60247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66499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65839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Bajina Basta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28473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28472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63970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63194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61447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60610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Bulgaria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68863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66791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56396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54655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1740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Gradina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60324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58315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47884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46198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1686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8539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8476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8512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8457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Hungary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184063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177646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6417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203350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197201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6149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Horgos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117955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112249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5706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131511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126081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5430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Kelebija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53692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53107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59691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59079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12416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12290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12148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12041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Macedonia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75667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72933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2734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58104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55742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2362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Presevo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75104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72382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57575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55224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2351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Romania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58171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57873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55230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54954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Mokranje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6807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5664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5629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Djerdap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24285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24159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22310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22192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  <w:trHeight w:hRule="atLeast" w:val="162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Kaludjerovo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11356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11355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15723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15587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16097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15974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Croatia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217852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211330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6522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231505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224741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6764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Batrovci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147337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142150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5187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162101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156750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5351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Backa Palanka Bridge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31480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30801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31002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30253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115857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111349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4508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131099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126497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4602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sz w:val="16"/>
              </w:rPr>
            </w:pPr>
            <w:r>
              <w:rPr>
                <w:sz w:val="16"/>
              </w:rPr>
              <w:t>To Montenegro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47847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45859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50694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48768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Out of which: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Mehov Krs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28877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27192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1661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29826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28226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1576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Gostun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15463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15232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17501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17241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18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6"/>
              <w:ind w:left="113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04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3507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3435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3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3367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3301</w:t>
            </w:r>
          </w:p>
        </w:tc>
        <w:tc>
          <w:tcPr>
            <w:tcW w:w="10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4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gridAfter w:val="1"/>
          <w:wAfter w:w="19" w:type="dxa"/>
        </w:trPr>
        <w:tc>
          <w:tcPr>
            <w:tcW w:w="10196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6"/>
              <w:rPr>
                <w:sz w:val="14"/>
                <w:vertAlign w:val="superscript"/>
              </w:rPr>
            </w:pPr>
          </w:p>
          <w:p>
            <w:pPr>
              <w:spacing w:lineRule="auto" w:line="226"/>
              <w:rPr>
                <w:sz w:val="14"/>
              </w:rPr>
            </w:pPr>
            <w:r>
              <w:rPr>
                <w:sz w:val="14"/>
                <w:vertAlign w:val="superscript"/>
              </w:rPr>
              <w:t>1)</w:t>
            </w:r>
            <w:r>
              <w:rPr>
                <w:sz w:val="14"/>
              </w:rPr>
              <w:t xml:space="preserve"> Local border traffic excluded.                  </w:t>
            </w:r>
          </w:p>
        </w:tc>
      </w:tr>
    </w:tbl>
    <w:p>
      <w:pPr>
        <w:spacing w:lineRule="auto" w:line="226"/>
        <w:ind w:firstLine="397"/>
        <w:jc w:val="both"/>
        <w:rPr>
          <w:sz w:val="6"/>
        </w:rPr>
      </w:pPr>
    </w:p>
    <w:p>
      <w:pPr>
        <w:spacing w:lineRule="auto" w:line="226"/>
        <w:ind w:firstLine="397"/>
        <w:jc w:val="both"/>
        <w:rPr>
          <w:sz w:val="6"/>
        </w:rPr>
      </w:pPr>
    </w:p>
    <w:tbl>
      <w:tblPr>
        <w:tblStyle w:val="T3"/>
        <w:tblW w:w="0" w:type="auto"/>
        <w:jc w:val="center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8505" w:type="dxa"/>
          </w:tcPr>
          <w:p>
            <w:pPr>
              <w:spacing w:lineRule="auto" w:line="226" w:before="120"/>
              <w:jc w:val="center"/>
              <w:rPr>
                <w:sz w:val="18"/>
              </w:rPr>
            </w:pPr>
            <w:r>
              <w:rPr>
                <w:sz w:val="18"/>
              </w:rPr>
              <w:t>Contact:</w:t>
            </w:r>
            <w:r>
              <w:rPr>
                <w:i w:val="1"/>
                <w:sz w:val="18"/>
              </w:rPr>
              <w:t xml:space="preserve">  </w:t>
            </w:r>
            <w:r>
              <w:rPr>
                <w:color w:val="0000FF"/>
                <w:sz w:val="18"/>
              </w:rPr>
              <w:t>predrag.mutavdzic@stat.gov.rs</w:t>
            </w:r>
            <w:r>
              <w:rPr>
                <w:sz w:val="18"/>
              </w:rPr>
              <w:t xml:space="preserve">  phone: +381 11 3617-342</w:t>
            </w:r>
          </w:p>
          <w:p>
            <w:pPr>
              <w:spacing w:lineRule="auto" w:line="226"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Published and printed by: Statistical Office of the Republic of Serbia, Belgrade, Milana Rakica 5, 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Phone: +381 11 2412922 ● Fax: +381 11 2411260 ● www.stat.gov.rs  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>Responsible: Dragan Vukmirovic, PhD, Director</w:t>
            </w:r>
          </w:p>
          <w:p>
            <w:pPr>
              <w:spacing w:lineRule="auto" w:line="22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Circulation: 20 ● Issued  quarterly</w:t>
            </w:r>
          </w:p>
        </w:tc>
      </w:tr>
    </w:tbl>
    <w:p>
      <w:pPr>
        <w:ind w:firstLine="397"/>
        <w:jc w:val="both"/>
        <w:rPr>
          <w:sz w:val="2"/>
        </w:rPr>
      </w:pPr>
    </w:p>
    <w:p>
      <w:pPr>
        <w:spacing w:lineRule="auto" w:line="216"/>
        <w:ind w:firstLine="397"/>
        <w:jc w:val="both"/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SERB</w:t>
          </w:r>
          <w:r>
            <w:rPr>
              <w:b w:val="1"/>
              <w:sz w:val="16"/>
            </w:rPr>
            <w:t>14</w:t>
          </w:r>
          <w:r>
            <w:rPr>
              <w:b w:val="1"/>
              <w:sz w:val="16"/>
            </w:rPr>
            <w:t>5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 xml:space="preserve"> SV</w:t>
          </w:r>
          <w:r>
            <w:rPr>
              <w:b w:val="1"/>
              <w:sz w:val="16"/>
            </w:rPr>
            <w:t xml:space="preserve">30 </w:t>
          </w:r>
          <w:r>
            <w:rPr>
              <w:b w:val="1"/>
              <w:sz w:val="16"/>
            </w:rPr>
            <w:t>31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5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3C60A9C3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292B9082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B472BE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0A667D6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CB0C0F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2FD56C0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0B43D374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28CDBD7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737D6BF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356C4FF3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009E86F7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202C1FBE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0B09166A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50B4F21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43070A9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B1373F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1310AB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1E58AF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0852CD8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1F4FDC9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5660E0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2D059F7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5A4C5F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BF40BC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1D36AAA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B29327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B38EDD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0FE8E12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C15D3E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43F34425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09FCADD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2013-05-30T12:36:00Z</dcterms:created>
  <cp:lastModifiedBy>Nikola Kapetanovic</cp:lastModifiedBy>
  <cp:lastPrinted>2013-05-31T06:46:00Z</cp:lastPrinted>
  <dcterms:modified xsi:type="dcterms:W3CDTF">2020-01-10T11:42:32Z</dcterms:modified>
  <cp:revision>8</cp:revision>
  <dc:title>                  </dc:title>
</cp:coreProperties>
</file>