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564ED48" Type="http://schemas.openxmlformats.org/officeDocument/2006/relationships/officeDocument" Target="/word/document.xml" /><Relationship Id="coreR1564ED4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142 - Year LXIII, 31/05/2013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SERB142 PM10 310513</w:t>
            </w:r>
          </w:p>
        </w:tc>
      </w:tr>
    </w:tbl>
    <w:p>
      <w:pPr>
        <w:pStyle w:val="P27"/>
      </w:pPr>
    </w:p>
    <w:p>
      <w:pPr>
        <w:pStyle w:val="P26"/>
        <w:spacing w:before="720"/>
      </w:pPr>
      <w:r>
        <w:t>Retail trade turnover in the Republic of Serbia, April 2013</w:t>
      </w:r>
    </w:p>
    <w:p>
      <w:pPr>
        <w:pStyle w:val="P21"/>
        <w:spacing w:before="360" w:after="360"/>
        <w:ind w:left="360"/>
      </w:pPr>
      <w:r>
        <w:t>– Preliminary results –</w:t>
      </w:r>
    </w:p>
    <w:p>
      <w:pPr>
        <w:pStyle w:val="P14"/>
        <w:spacing w:before="120" w:after="120"/>
        <w:ind w:firstLine="397"/>
      </w:pPr>
      <w:r>
        <w:t xml:space="preserve">According to the preliminary results, the turnover of retail trade in the Republic of Serbia in April 2013, compared to April 2012, increased by 2.8% at current prices and decreased by 5.7% at constant prices. In April 2013 compared to March 2013, the turnover increased by 12.7% at current prices and by 12.3% at constant prices. </w:t>
      </w:r>
    </w:p>
    <w:p>
      <w:pPr>
        <w:pStyle w:val="P14"/>
        <w:spacing w:before="120" w:after="120"/>
        <w:ind w:firstLine="397"/>
        <w:rPr>
          <w:sz w:val="20"/>
        </w:rPr>
      </w:pPr>
      <w:r>
        <w:t>Comparing the first four months of 2013 with the same period 2012, the retail trade turnover decreased by 0.7% at current prices and by 10.2% at constant prices.</w:t>
      </w:r>
    </w:p>
    <w:p>
      <w:pPr>
        <w:pStyle w:val="P2"/>
        <w:ind w:left="0"/>
      </w:pPr>
    </w:p>
    <w:p>
      <w:pPr>
        <w:jc w:val="center"/>
      </w:pPr>
    </w:p>
    <w:p>
      <w:pPr>
        <w:pStyle w:val="P2"/>
        <w:spacing w:after="40"/>
        <w:ind w:left="0"/>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2628900</wp:posOffset>
                </wp:positionH>
                <wp:positionV relativeFrom="paragraph">
                  <wp:posOffset>3493135</wp:posOffset>
                </wp:positionV>
                <wp:extent cx="756285" cy="114300"/>
                <wp:wrapNone/>
                <wp:docPr id="2" name="Text Box 2"/>
                <a:graphic xmlns:a="http://schemas.openxmlformats.org/drawingml/2006/main">
                  <a:graphicData uri="http://schemas.microsoft.com/office/word/2010/wordprocessingShape">
                    <wps:wsp>
                      <wps:cNvSpPr/>
                      <wps:spPr>
                        <a:xfrm>
                          <a:off x="0" y="0"/>
                          <a:ext cx="756285" cy="114300"/>
                        </a:xfrm>
                        <a:prstGeom prst="rect"/>
                      </wps:spPr>
                      <wps:txbx>
                        <w:txbxContent>
                          <w:p>
                            <w:pPr>
                              <w:rPr>
                                <w:sz w:val="16"/>
                              </w:rPr>
                            </w:pPr>
                            <w:r>
                              <w:rPr>
                                <w:sz w:val="16"/>
                              </w:rPr>
                              <w:t>current prices</w:t>
                            </w:r>
                          </w:p>
                        </w:txbxContent>
                      </wps:txbx>
                      <wps:bodyPr lIns="17780" tIns="0" rIns="17780" bIns="0">
                        <a:noAutofit/>
                      </wps:bodyPr>
                    </wps:wsp>
                  </a:graphicData>
                </a:graphic>
              </wp:anchor>
            </w:drawing>
          </mc:Choice>
          <mc:Fallback>
            <w:pict>
              <v:shapetype id="3" path="m,l,21600r21600,l21600,xe"/>
              <v:shape xmlns:o="urn:schemas-microsoft-com:office:office" type="#3" id="Text Box 2" style="position:absolute;width:59.55pt;height:9pt;z-index:3;mso-wrap-distance-left:9pt;mso-wrap-distance-top:0pt;mso-wrap-distance-right:9pt;mso-wrap-distance-bottom:0pt;margin-left:207pt;margin-top:275.05pt;mso-position-horizontal:absolute;mso-position-horizontal-relative:text;mso-position-vertical:absolute;mso-position-vertical-relative:text" stroked="f" o:allowincell="t">
                <v:textbox style="mso-fit-shape-to-text:f" inset="0mm,0mm,0mm,0mm">
                  <w:txbxContent>
                    <w:p>
                      <w:pPr>
                        <w:rPr>
                          <w:sz w:val="16"/>
                        </w:rPr>
                      </w:pPr>
                      <w:r>
                        <w:rPr>
                          <w:sz w:val="16"/>
                        </w:rPr>
                        <w:t>current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3608070</wp:posOffset>
                </wp:positionH>
                <wp:positionV relativeFrom="paragraph">
                  <wp:posOffset>3500120</wp:posOffset>
                </wp:positionV>
                <wp:extent cx="744855" cy="114300"/>
                <wp:wrapNone/>
                <wp:docPr id="4" name="Text Box 4"/>
                <a:graphic xmlns:a="http://schemas.openxmlformats.org/drawingml/2006/main">
                  <a:graphicData uri="http://schemas.microsoft.com/office/word/2010/wordprocessingShape">
                    <wps:wsp>
                      <wps:cNvSpPr/>
                      <wps:spPr>
                        <a:xfrm>
                          <a:off x="0" y="0"/>
                          <a:ext cx="744855" cy="114300"/>
                        </a:xfrm>
                        <a:prstGeom prst="rect"/>
                      </wps:spPr>
                      <wps:txbx>
                        <w:txbxContent>
                          <w:p>
                            <w:pPr>
                              <w:rPr>
                                <w:sz w:val="16"/>
                              </w:rPr>
                            </w:pPr>
                            <w:r>
                              <w:rPr>
                                <w:sz w:val="16"/>
                              </w:rPr>
                              <w:t>constant prices</w:t>
                            </w:r>
                          </w:p>
                        </w:txbxContent>
                      </wps:txbx>
                      <wps:bodyPr lIns="17780" tIns="0" rIns="17780" bIns="0">
                        <a:noAutofit/>
                      </wps:bodyPr>
                    </wps:wsp>
                  </a:graphicData>
                </a:graphic>
              </wp:anchor>
            </w:drawing>
          </mc:Choice>
          <mc:Fallback>
            <w:pict>
              <v:shapetype id="5" path="m,l,21600r21600,l21600,xe"/>
              <v:shape xmlns:o="urn:schemas-microsoft-com:office:office" type="#5" id="Text Box 4" style="position:absolute;width:58.65pt;height:9pt;z-index:4;mso-wrap-distance-left:9pt;mso-wrap-distance-top:0pt;mso-wrap-distance-right:9pt;mso-wrap-distance-bottom:0pt;margin-left:284.1pt;margin-top:275.6pt;mso-position-horizontal:absolute;mso-position-horizontal-relative:text;mso-position-vertical:absolute;mso-position-vertical-relative:text" stroked="f" o:allowincell="t">
                <v:textbox style="mso-fit-shape-to-text:f" inset="0mm,0mm,0mm,0mm">
                  <w:txbxContent>
                    <w:p>
                      <w:pPr>
                        <w:rPr>
                          <w:sz w:val="16"/>
                        </w:rPr>
                      </w:pPr>
                      <w:r>
                        <w:rPr>
                          <w:sz w:val="16"/>
                        </w:rPr>
                        <w:t>constant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571500</wp:posOffset>
                </wp:positionH>
                <wp:positionV relativeFrom="paragraph">
                  <wp:posOffset>2994660</wp:posOffset>
                </wp:positionV>
                <wp:extent cx="5486400" cy="342900"/>
                <wp:wrapNone/>
                <wp:docPr id="6" name="Text Box 6"/>
                <a:graphic xmlns:a="http://schemas.openxmlformats.org/drawingml/2006/main">
                  <a:graphicData uri="http://schemas.microsoft.com/office/word/2010/wordprocessingShape">
                    <wps:wsp>
                      <wps:cNvSpPr/>
                      <wps:spPr>
                        <a:xfrm>
                          <a:off x="0" y="0"/>
                          <a:ext cx="5486400" cy="342900"/>
                        </a:xfrm>
                        <a:prstGeom prst="rect"/>
                      </wps:spPr>
                      <wps:txbx>
                        <w:txbxContent>
                          <w:p>
                            <w:pPr>
                              <w:rPr>
                                <w:sz w:val="18"/>
                              </w:rPr>
                            </w:pPr>
                            <w:r>
                              <w:rPr>
                                <w:sz w:val="18"/>
                              </w:rPr>
                              <w:t xml:space="preserve">    Apr       May     June       July       Aug      Sept     Oct     Nov         Dec       Jan       Feb    March     April</w:t>
                            </w:r>
                          </w:p>
                          <w:p>
                            <w:pPr>
                              <w:rPr>
                                <w:sz w:val="18"/>
                              </w:rPr>
                            </w:pPr>
                            <w:r>
                              <w:rPr>
                                <w:sz w:val="18"/>
                              </w:rPr>
                              <w:t xml:space="preserve">   2012                                                                                                            2013</w:t>
                            </w:r>
                          </w:p>
                        </w:txbxContent>
                      </wps:txbx>
                      <wps:bodyPr lIns="17780" tIns="10795" rIns="17780" bIns="10795"/>
                    </wps:wsp>
                  </a:graphicData>
                </a:graphic>
              </wp:anchor>
            </w:drawing>
          </mc:Choice>
          <mc:Fallback>
            <w:pict>
              <v:shapetype id="7" path="m,l,21600r21600,l21600,xe"/>
              <v:shape xmlns:o="urn:schemas-microsoft-com:office:office" type="#7" id="Text Box 6" style="position:absolute;width:432pt;height:27pt;z-index:2;mso-wrap-distance-left:9pt;mso-wrap-distance-top:0pt;mso-wrap-distance-right:9pt;mso-wrap-distance-bottom:0pt;margin-left:45pt;margin-top:235.8pt;mso-position-horizontal:absolute;mso-position-horizontal-relative:text;mso-position-vertical:absolute;mso-position-vertical-relative:text" stroked="f" o:allowincell="t">
                <v:textbox inset="0mm,0mm,0mm,0mm">
                  <w:txbxContent>
                    <w:p>
                      <w:pPr>
                        <w:rPr>
                          <w:sz w:val="18"/>
                        </w:rPr>
                      </w:pPr>
                      <w:r>
                        <w:rPr>
                          <w:sz w:val="18"/>
                        </w:rPr>
                        <w:t xml:space="preserve">    Apr       May     June       July       Aug      Sept     Oct     Nov         Dec       Jan       Feb    March     April</w:t>
                      </w:r>
                    </w:p>
                    <w:p>
                      <w:pPr>
                        <w:rPr>
                          <w:sz w:val="18"/>
                        </w:rPr>
                      </w:pPr>
                      <w:r>
                        <w:rPr>
                          <w:sz w:val="18"/>
                        </w:rPr>
                        <w:t xml:space="preserve">   2012                                                                                                            2013</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1444625</wp:posOffset>
                </wp:positionH>
                <wp:positionV relativeFrom="paragraph">
                  <wp:posOffset>137160</wp:posOffset>
                </wp:positionV>
                <wp:extent cx="3429000" cy="571500"/>
                <wp:wrapNone/>
                <wp:docPr id="8" name="Text Box 8"/>
                <a:graphic xmlns:a="http://schemas.openxmlformats.org/drawingml/2006/main">
                  <a:graphicData uri="http://schemas.microsoft.com/office/word/2010/wordprocessingShape">
                    <wps:wsp>
                      <wps:cNvSpPr/>
                      <wps:spPr>
                        <a:xfrm>
                          <a:off x="0" y="0"/>
                          <a:ext cx="3429000" cy="571500"/>
                        </a:xfrm>
                        <a:prstGeom prst="rect"/>
                      </wps:spPr>
                      <wps:txbx>
                        <w:txbxContent>
                          <w:p>
                            <w:pPr>
                              <w:jc w:val="center"/>
                              <w:rPr>
                                <w:b w:val="1"/>
                              </w:rPr>
                            </w:pPr>
                            <w:r>
                              <w:rPr>
                                <w:b w:val="1"/>
                              </w:rPr>
                              <w:t>Retail trade turnover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wps:txbx>
                      <wps:bodyPr/>
                    </wps:wsp>
                  </a:graphicData>
                </a:graphic>
              </wp:anchor>
            </w:drawing>
          </mc:Choice>
          <mc:Fallback>
            <w:pict>
              <v:shapetype id="9" path="m,l,21600r21600,l21600,xe"/>
              <v:shape xmlns:o="urn:schemas-microsoft-com:office:office" type="#9" id="Text Box 8" style="position:absolute;width:270pt;height:45pt;z-index:1;mso-wrap-distance-left:9pt;mso-wrap-distance-top:0pt;mso-wrap-distance-right:9pt;mso-wrap-distance-bottom:0pt;margin-left:113.75pt;margin-top:10.8pt;mso-position-horizontal:absolute;mso-position-horizontal-relative:text;mso-position-vertical:absolute;mso-position-vertical-relative:text" stroked="f" o:allowincell="t">
                <v:textbox>
                  <w:txbxContent>
                    <w:p>
                      <w:pPr>
                        <w:jc w:val="center"/>
                        <w:rPr>
                          <w:b w:val="1"/>
                        </w:rPr>
                      </w:pPr>
                      <w:r>
                        <w:rPr>
                          <w:b w:val="1"/>
                        </w:rPr>
                        <w:t>Retail trade turnover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v:textbox>
              </v:shape>
            </w:pict>
          </mc:Fallback>
        </mc:AlternateContent>
      </w: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19945481"/>
      <w:bookmarkEnd w:id="25"/>
      <w:bookmarkStart w:id="26" w:name="_1423468074"/>
      <w:bookmarkEnd w:id="26"/>
      <w:bookmarkStart w:id="27" w:name="_1425722205"/>
      <w:bookmarkEnd w:id="27"/>
      <w:bookmarkStart w:id="28" w:name="_1428738047"/>
      <w:bookmarkEnd w:id="28"/>
      <w:bookmarkStart w:id="29" w:name="_1431412148"/>
      <w:bookmarkEnd w:id="29"/>
      <w:bookmarkStart w:id="30" w:name="_1428738462"/>
      <w:bookmarkEnd w:id="30"/>
      <w:bookmarkStart w:id="31" w:name="_1428128740"/>
      <w:bookmarkEnd w:id="31"/>
      <w:bookmarkStart w:id="32" w:name="_1423475449"/>
      <w:bookmarkEnd w:id="32"/>
      <w:bookmarkStart w:id="33" w:name="_1423029574"/>
      <w:bookmarkEnd w:id="33"/>
      <w:bookmarkStart w:id="34" w:name="_1419945179"/>
      <w:bookmarkEnd w:id="34"/>
      <w:bookmarkStart w:id="35" w:name="_1418114923"/>
      <w:bookmarkEnd w:id="35"/>
      <w:bookmarkStart w:id="36" w:name="_1415608895"/>
      <w:bookmarkEnd w:id="36"/>
      <w:bookmarkStart w:id="37" w:name="_1412683599"/>
      <w:bookmarkEnd w:id="37"/>
      <w:bookmarkStart w:id="38" w:name="_1412683531"/>
      <w:bookmarkEnd w:id="38"/>
      <w:bookmarkStart w:id="39" w:name="_1410253915"/>
      <w:bookmarkEnd w:id="39"/>
      <w:bookmarkStart w:id="40" w:name="_1407583711"/>
      <w:bookmarkEnd w:id="40"/>
      <w:bookmarkStart w:id="41" w:name="_1401175561"/>
      <w:bookmarkEnd w:id="41"/>
      <w:bookmarkStart w:id="42" w:name="_1396959334"/>
      <w:bookmarkEnd w:id="42"/>
      <w:bookmarkStart w:id="43" w:name="_1396420409"/>
      <w:bookmarkEnd w:id="43"/>
      <w:bookmarkStart w:id="44" w:name="_1394517881"/>
      <w:bookmarkEnd w:id="44"/>
      <w:bookmarkStart w:id="45" w:name="_1394516914"/>
      <w:bookmarkEnd w:id="45"/>
      <w:bookmarkStart w:id="46" w:name="_1392536296"/>
      <w:bookmarkEnd w:id="46"/>
      <w:bookmarkStart w:id="47" w:name="_1362995495"/>
      <w:bookmarkEnd w:id="47"/>
      <w:bookmarkStart w:id="48" w:name="_1362995345"/>
      <w:bookmarkEnd w:id="48"/>
      <w:bookmarkStart w:id="49" w:name="_1362995231"/>
      <w:bookmarkEnd w:id="49"/>
      <w:bookmarkStart w:id="50" w:name="_1362995094"/>
      <w:bookmarkEnd w:id="50"/>
      <w:bookmarkStart w:id="51" w:name="_1360390771"/>
      <w:bookmarkEnd w:id="51"/>
      <w:bookmarkStart w:id="52" w:name="_1360389603"/>
      <w:bookmarkEnd w:id="52"/>
      <w:bookmarkStart w:id="53" w:name="_1360389179"/>
      <w:bookmarkEnd w:id="53"/>
      <w:bookmarkStart w:id="54" w:name="_1360145151"/>
      <w:bookmarkEnd w:id="54"/>
      <w:bookmarkStart w:id="55" w:name="_1359889055"/>
      <w:bookmarkEnd w:id="55"/>
      <w:bookmarkStart w:id="56" w:name="_1358683586"/>
      <w:bookmarkEnd w:id="56"/>
      <w:bookmarkStart w:id="57" w:name="_1358335734"/>
      <w:bookmarkEnd w:id="57"/>
      <w:bookmarkStart w:id="58" w:name="_1358335502"/>
      <w:bookmarkEnd w:id="58"/>
      <w:r>
        <w:fldChar w:fldCharType="separate"/>
      </w:r>
      <w:r>
        <w:drawing>
          <wp:inline xmlns:wp="http://schemas.openxmlformats.org/drawingml/2006/wordprocessingDrawing">
            <wp:extent cx="6191250" cy="37331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6191250" cy="3733165"/>
                    </a:xfrm>
                    <a:prstGeom prst="rect"/>
                    <a:noFill/>
                  </pic:spPr>
                </pic:pic>
              </a:graphicData>
            </a:graphic>
          </wp:inline>
        </w:drawing>
      </w:r>
      <w:r>
        <w:fldChar w:fldCharType="end"/>
      </w:r>
      <w:r>
        <w:br w:type="page"/>
        <w:t>1. Retail trade turnover indices by territory</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8"/>
                <w:u w:val="single"/>
              </w:rPr>
            </w:pPr>
            <w:r>
              <w:rPr>
                <w:sz w:val="18"/>
                <w:u w:val="single"/>
              </w:rPr>
              <w:t>IV 2013</w:t>
            </w:r>
          </w:p>
          <w:p>
            <w:pPr>
              <w:jc w:val="center"/>
              <w:rPr>
                <w:sz w:val="18"/>
              </w:rPr>
            </w:pPr>
            <w:r>
              <w:rPr>
                <w:sz w:val="18"/>
              </w:rPr>
              <w:t>IV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IV 2013</w:t>
            </w:r>
          </w:p>
          <w:p>
            <w:pPr>
              <w:jc w:val="center"/>
              <w:rPr>
                <w:sz w:val="18"/>
              </w:rPr>
            </w:pPr>
            <w:r>
              <w:rPr>
                <w:sz w:val="18"/>
              </w:rPr>
              <w:t>III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IV 2013</w:t>
            </w:r>
          </w:p>
          <w:p>
            <w:pPr>
              <w:jc w:val="center"/>
              <w:rPr>
                <w:sz w:val="18"/>
              </w:rPr>
            </w:pPr>
            <w:r>
              <w:rPr>
                <w:sz w:val="18"/>
              </w:rPr>
              <w:t>Ø 2012</w:t>
            </w:r>
          </w:p>
        </w:tc>
        <w:tc>
          <w:tcPr>
            <w:tcW w:w="1867" w:type="dxa"/>
            <w:gridSpan w:val="2"/>
            <w:tcBorders>
              <w:top w:val="single" w:sz="4" w:space="0" w:shadow="0" w:frame="0"/>
              <w:left w:val="single" w:sz="4" w:space="0" w:shadow="0" w:frame="0"/>
              <w:bottom w:val="none" w:sz="0" w:space="0" w:shadow="0" w:frame="0"/>
              <w:right w:val="none" w:sz="0" w:space="0" w:shadow="0" w:frame="0"/>
            </w:tcBorders>
            <w:vAlign w:val="center"/>
          </w:tcPr>
          <w:p>
            <w:pPr>
              <w:pStyle w:val="P3"/>
              <w:rPr>
                <w:sz w:val="18"/>
              </w:rPr>
            </w:pPr>
            <w:r>
              <w:rPr>
                <w:sz w:val="18"/>
              </w:rPr>
              <w:t>I-IV 2013</w:t>
            </w:r>
          </w:p>
          <w:p>
            <w:pPr>
              <w:jc w:val="center"/>
              <w:rPr>
                <w:sz w:val="18"/>
              </w:rPr>
            </w:pPr>
            <w:r>
              <w:rPr>
                <w:sz w:val="18"/>
              </w:rPr>
              <w:t>I-IV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ind w:right="288"/>
              <w:jc w:val="right"/>
              <w:rPr>
                <w:b w:val="1"/>
                <w:sz w:val="16"/>
              </w:rPr>
            </w:pP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Republic of Serbia</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b w:val="1"/>
                <w:sz w:val="16"/>
              </w:rPr>
            </w:pPr>
            <w:r>
              <w:rPr>
                <w:b w:val="1"/>
                <w:sz w:val="16"/>
              </w:rPr>
              <w:t>102,8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94,3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112,7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112,3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104,4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98,4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99,3</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89,8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Sever</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102,2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109,3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108,8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102,4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97,6</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88,3</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Region Vojvodine </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102,5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94,1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116,4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116,2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103,9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97,3</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88,0</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Jug</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104,0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119,0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118,8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108,1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102,6</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92,5</w:t>
            </w:r>
          </w:p>
        </w:tc>
      </w:tr>
    </w:tbl>
    <w:p/>
    <w:p/>
    <w:p/>
    <w:p>
      <w:pPr>
        <w:spacing w:after="60"/>
        <w:jc w:val="both"/>
      </w:pPr>
      <w:r>
        <w:rPr>
          <w:b w:val="1"/>
        </w:rPr>
        <w:t xml:space="preserve">2. </w:t>
      </w:r>
      <w:r>
        <w:rPr>
          <w:b w:val="1"/>
        </w:rPr>
        <w:t>Retail trade turnover indices by main aggregates of the Classification of Activities</w:t>
      </w:r>
      <w:r>
        <w:t xml:space="preserve"> </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8"/>
                <w:u w:val="single"/>
              </w:rPr>
            </w:pPr>
            <w:r>
              <w:rPr>
                <w:sz w:val="18"/>
                <w:u w:val="single"/>
              </w:rPr>
              <w:t>IV 2013</w:t>
            </w:r>
          </w:p>
          <w:p>
            <w:pPr>
              <w:jc w:val="center"/>
              <w:rPr>
                <w:sz w:val="18"/>
              </w:rPr>
            </w:pPr>
            <w:r>
              <w:rPr>
                <w:sz w:val="18"/>
              </w:rPr>
              <w:t>IV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IV 2013</w:t>
            </w:r>
          </w:p>
          <w:p>
            <w:pPr>
              <w:jc w:val="center"/>
              <w:rPr>
                <w:sz w:val="18"/>
              </w:rPr>
            </w:pPr>
            <w:r>
              <w:rPr>
                <w:sz w:val="18"/>
              </w:rPr>
              <w:t>III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IV 2013</w:t>
            </w:r>
          </w:p>
          <w:p>
            <w:pPr>
              <w:jc w:val="center"/>
              <w:rPr>
                <w:sz w:val="18"/>
              </w:rPr>
            </w:pPr>
            <w:r>
              <w:rPr>
                <w:sz w:val="18"/>
              </w:rPr>
              <w:t>Ø 2012</w:t>
            </w:r>
          </w:p>
        </w:tc>
        <w:tc>
          <w:tcPr>
            <w:tcW w:w="1867"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8"/>
              </w:rPr>
            </w:pPr>
            <w:r>
              <w:rPr>
                <w:sz w:val="18"/>
              </w:rPr>
              <w:t>I-IV 2013</w:t>
            </w:r>
          </w:p>
          <w:p>
            <w:pPr>
              <w:jc w:val="center"/>
              <w:rPr>
                <w:sz w:val="18"/>
              </w:rPr>
            </w:pPr>
            <w:r>
              <w:rPr>
                <w:sz w:val="18"/>
              </w:rPr>
              <w:t>I-IV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jc w:val="center"/>
              <w:rPr>
                <w:b w:val="1"/>
                <w:sz w:val="16"/>
              </w:rPr>
            </w:pPr>
            <w:r>
              <w:rPr>
                <w:sz w:val="16"/>
              </w:rPr>
              <w:t>Republic of Serbia</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 xml:space="preserve">Retail trade, except of motor vehicles and motorcycles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102,8</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94,3</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112,7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112,3</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104,4</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98,4</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99,3</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89,8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Food, beverages and tobacco</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110,5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108,4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106,6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108,5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104,6</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88,5</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Non-food products, except of automotive fuel  </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97,1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115,3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115,3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95,7</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88,8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Automotive fuel</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98,7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97,4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117,3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118,2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103,4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103,8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95,3</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89,3</w:t>
            </w:r>
          </w:p>
        </w:tc>
      </w:tr>
    </w:tbl>
    <w:p>
      <w:pPr>
        <w:pStyle w:val="P27"/>
        <w:spacing w:after="120"/>
      </w:pPr>
    </w:p>
    <w:p>
      <w:pPr>
        <w:pStyle w:val="P12"/>
        <w:ind w:firstLine="397" w:left="0"/>
      </w:pPr>
      <w:r>
        <w:rPr>
          <w:b w:val="1"/>
        </w:rPr>
        <w:t>Methodological notes:</w:t>
      </w:r>
      <w:r>
        <w:t xml:space="preserve"> The indices published in this statistical release relate to turnover of all business entities (legal persons and unincorporated enterprises) dealing with retail trade. In the previous statistical releases (up to the end of 2012), only legal persons were encompassed, excluding turnover of unincorporated enterprises dealing with retail trade. </w:t>
      </w:r>
    </w:p>
    <w:p>
      <w:pPr>
        <w:pStyle w:val="P12"/>
        <w:ind w:firstLine="397" w:left="0"/>
      </w:pPr>
      <w:r>
        <w:t xml:space="preserve">Retail trade turnover is obtained on the basis of regular monthly statistical survey “Monthly Survey of Retail Trade”, based on the sample of VAT reports received from Tax administration. </w:t>
      </w:r>
    </w:p>
    <w:p>
      <w:pPr>
        <w:pStyle w:val="P12"/>
        <w:ind w:firstLine="397" w:left="0"/>
      </w:pPr>
      <w:r>
        <w:t xml:space="preserve">The turnover in retail trade includes VAT. </w:t>
      </w:r>
    </w:p>
    <w:p>
      <w:pPr>
        <w:ind w:firstLine="397"/>
        <w:jc w:val="both"/>
      </w:pPr>
      <w:r>
        <w:t>The turnover indices at constant prices have been obtained by deflating the indices at current prices by the corresponding consumer price indices, excluding: water (from public utility systems), electricity and motor vehicles, motorcycles and parts.</w:t>
      </w:r>
    </w:p>
    <w:p>
      <w:pPr>
        <w:pStyle w:val="P13"/>
        <w:ind w:firstLine="397" w:left="0"/>
        <w:rPr>
          <w:sz w:val="20"/>
        </w:rPr>
      </w:pPr>
      <w:r>
        <w:rPr>
          <w:sz w:val="20"/>
        </w:rPr>
        <w:t>All published indices ought to be regarded as preliminary, meaning that certain corrections can appear on the basis of the estimated results, obtained from the regular statistical surveys that are conducted on the increased number of sample units.</w:t>
      </w:r>
    </w:p>
    <w:p>
      <w:pPr>
        <w:pStyle w:val="P17"/>
        <w:ind w:firstLine="397"/>
        <w:rPr>
          <w:color w:val="auto"/>
        </w:rPr>
      </w:pPr>
      <w:r>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before="120"/>
        <w:ind w:firstLine="397"/>
        <w:jc w:val="both"/>
      </w:pPr>
      <w:r>
        <w:t xml:space="preserve">Methodological notes on retail trade are available on the website of the Statistical Office of the Republic of Serbia </w:t>
      </w:r>
      <w:r>
        <w:fldChar w:fldCharType="begin"/>
      </w:r>
      <w:r>
        <w:instrText xml:space="preserve"> HYPERLINK "http://webrzs.stat.gov.rs/WebSite/Public/PageView.aspx?pKey=105" </w:instrText>
      </w:r>
      <w:r>
        <w:fldChar w:fldCharType="separate"/>
      </w:r>
      <w:r>
        <w:rPr>
          <w:rStyle w:val="C2"/>
          <w:color w:val="auto"/>
        </w:rPr>
        <w:t>http://webrzs.stat.</w:t>
      </w:r>
      <w:bookmarkStart w:id="59" w:name="_Hlt354648909"/>
      <w:bookmarkStart w:id="60" w:name="_Hlt354648910"/>
      <w:r>
        <w:rPr>
          <w:rStyle w:val="C2"/>
          <w:color w:val="auto"/>
        </w:rPr>
        <w:t>g</w:t>
      </w:r>
      <w:bookmarkEnd w:id="59"/>
      <w:bookmarkEnd w:id="60"/>
      <w:r>
        <w:rPr>
          <w:rStyle w:val="C2"/>
          <w:color w:val="auto"/>
        </w:rPr>
        <w:t>ov.rs/W</w:t>
      </w:r>
      <w:bookmarkStart w:id="61" w:name="_Hlt354388868"/>
      <w:bookmarkStart w:id="62" w:name="_Hlt354388869"/>
      <w:r>
        <w:rPr>
          <w:rStyle w:val="C2"/>
          <w:color w:val="auto"/>
        </w:rPr>
        <w:t>e</w:t>
      </w:r>
      <w:bookmarkEnd w:id="61"/>
      <w:bookmarkEnd w:id="62"/>
      <w:r>
        <w:rPr>
          <w:rStyle w:val="C2"/>
          <w:color w:val="auto"/>
        </w:rPr>
        <w:t>b</w:t>
      </w:r>
      <w:bookmarkStart w:id="63" w:name="_Hlt354649021"/>
      <w:bookmarkStart w:id="64" w:name="_Hlt354649022"/>
      <w:r>
        <w:rPr>
          <w:rStyle w:val="C2"/>
          <w:color w:val="auto"/>
        </w:rPr>
        <w:t>S</w:t>
      </w:r>
      <w:bookmarkEnd w:id="63"/>
      <w:bookmarkEnd w:id="64"/>
      <w:bookmarkStart w:id="65" w:name="_Hlt354648666"/>
      <w:bookmarkStart w:id="66" w:name="_Hlt354648667"/>
      <w:r>
        <w:rPr>
          <w:rStyle w:val="C2"/>
          <w:color w:val="auto"/>
        </w:rPr>
        <w:t>i</w:t>
      </w:r>
      <w:bookmarkEnd w:id="65"/>
      <w:bookmarkEnd w:id="66"/>
      <w:r>
        <w:rPr>
          <w:rStyle w:val="C2"/>
          <w:color w:val="auto"/>
        </w:rPr>
        <w:t>te/Pu</w:t>
      </w:r>
      <w:bookmarkStart w:id="67" w:name="_Hlt354647459"/>
      <w:bookmarkStart w:id="68" w:name="_Hlt354647460"/>
      <w:r>
        <w:rPr>
          <w:rStyle w:val="C2"/>
          <w:color w:val="auto"/>
        </w:rPr>
        <w:t>b</w:t>
      </w:r>
      <w:bookmarkEnd w:id="67"/>
      <w:bookmarkEnd w:id="68"/>
      <w:bookmarkStart w:id="69" w:name="_Hlt354648726"/>
      <w:bookmarkStart w:id="70" w:name="_Hlt354648727"/>
      <w:r>
        <w:rPr>
          <w:rStyle w:val="C2"/>
          <w:color w:val="auto"/>
        </w:rPr>
        <w:t>l</w:t>
      </w:r>
      <w:bookmarkEnd w:id="69"/>
      <w:bookmarkEnd w:id="70"/>
      <w:r>
        <w:rPr>
          <w:rStyle w:val="C2"/>
          <w:color w:val="auto"/>
        </w:rPr>
        <w:t>ic/PageView.aspx?pKey=105</w:t>
      </w:r>
      <w:r>
        <w:rPr>
          <w:rStyle w:val="C2"/>
          <w:color w:val="auto"/>
        </w:rPr>
        <w:fldChar w:fldCharType="end"/>
      </w:r>
      <w:r>
        <w:t xml:space="preserve">. </w:t>
      </w:r>
    </w:p>
    <w:p>
      <w:pPr>
        <w:spacing w:before="120"/>
        <w:ind w:firstLine="397"/>
      </w:pPr>
      <w:r>
        <w:t xml:space="preserve">Series of monthly indices (chain and base), at current and constant prices are available on the website of the Statistical Office of the Republic of Serbia, in database </w:t>
      </w:r>
      <w:r>
        <w:fldChar w:fldCharType="begin"/>
      </w:r>
      <w:r>
        <w:instrText xml:space="preserve"> HYPERLINK "http://webrzs.stat.gov.rs/WebSite/public/ReportView.aspx" </w:instrText>
      </w:r>
      <w:r>
        <w:fldChar w:fldCharType="separate"/>
      </w:r>
      <w:r>
        <w:rPr>
          <w:rStyle w:val="C2"/>
          <w:color w:val="auto"/>
        </w:rPr>
        <w:t>http://webrzs.stat</w:t>
      </w:r>
      <w:bookmarkStart w:id="71" w:name="_Hlt354648884"/>
      <w:bookmarkStart w:id="72" w:name="_Hlt354648885"/>
      <w:r>
        <w:rPr>
          <w:rStyle w:val="C2"/>
          <w:color w:val="auto"/>
        </w:rPr>
        <w:t>.</w:t>
      </w:r>
      <w:bookmarkEnd w:id="71"/>
      <w:bookmarkEnd w:id="72"/>
      <w:r>
        <w:rPr>
          <w:rStyle w:val="C2"/>
          <w:color w:val="auto"/>
        </w:rPr>
        <w:t>gov.rs/WebS</w:t>
      </w:r>
      <w:bookmarkStart w:id="73" w:name="_Hlt354648919"/>
      <w:bookmarkStart w:id="74" w:name="_Hlt354648920"/>
      <w:r>
        <w:rPr>
          <w:rStyle w:val="C2"/>
          <w:color w:val="auto"/>
        </w:rPr>
        <w:t>i</w:t>
      </w:r>
      <w:bookmarkEnd w:id="73"/>
      <w:bookmarkEnd w:id="74"/>
      <w:r>
        <w:rPr>
          <w:rStyle w:val="C2"/>
          <w:color w:val="auto"/>
        </w:rPr>
        <w:t>te/public/ReportView.aspx</w:t>
      </w:r>
      <w:r>
        <w:rPr>
          <w:rStyle w:val="C2"/>
          <w:color w:val="auto"/>
        </w:rPr>
        <w:fldChar w:fldCharType="end"/>
      </w:r>
      <w:r>
        <w:t>.</w:t>
      </w:r>
    </w:p>
    <w:p>
      <w:pPr>
        <w:ind w:firstLine="714"/>
        <w:jc w:val="both"/>
      </w:pPr>
    </w:p>
    <w:p>
      <w:pPr>
        <w:ind w:firstLine="714"/>
        <w:jc w:val="both"/>
      </w:pPr>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jc w:val="center"/>
              <w:rPr>
                <w:sz w:val="18"/>
              </w:rPr>
            </w:pPr>
            <w:r>
              <w:rPr>
                <w:sz w:val="18"/>
              </w:rPr>
              <w:t xml:space="preserve">Contact: </w:t>
            </w:r>
            <w:r>
              <w:rPr>
                <w:sz w:val="18"/>
              </w:rPr>
              <w:fldChar w:fldCharType="begin"/>
            </w:r>
            <w:r>
              <w:rPr>
                <w:color w:val="0000FF"/>
                <w:sz w:val="18"/>
              </w:rPr>
              <w:instrText xml:space="preserve"> HYPERLINK "mailto:sonja.radoicic@stat.gov.rs" </w:instrText>
            </w:r>
            <w:r>
              <w:rPr>
                <w:color w:val="0000FF"/>
                <w:sz w:val="18"/>
              </w:rPr>
              <w:fldChar w:fldCharType="separate"/>
            </w:r>
            <w:r>
              <w:rPr>
                <w:rStyle w:val="C2"/>
                <w:sz w:val="18"/>
              </w:rPr>
              <w:t>sonja.radoicic@stat.gov.rs</w:t>
            </w:r>
            <w:r>
              <w:rPr>
                <w:rStyle w:val="C2"/>
                <w:sz w:val="18"/>
              </w:rPr>
              <w:fldChar w:fldCharType="end"/>
            </w:r>
            <w:r>
              <w:rPr>
                <w:sz w:val="18"/>
              </w:rPr>
              <w:t xml:space="preserve">  Phone: 011 2412-922, ext. 216</w:t>
            </w: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SERB142 PM10 310513</w:t>
    </w:r>
  </w:p>
</w:ftr>
</file>

<file path=word/numbering.xml><?xml version="1.0" encoding="utf-8"?>
<w:numbering xmlns:w="http://schemas.openxmlformats.org/wordprocessingml/2006/main">
  <w:abstractNum w:abstractNumId="0">
    <w:nsid w:val="0D390265"/>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1E10CC8"/>
    <w:multiLevelType w:val="hybridMultilevel"/>
    <w:lvl w:ilvl="0" w:tplc="7935D0C4">
      <w:start w:val="0"/>
      <w:numFmt w:val="bullet"/>
      <w:suff w:val="tab"/>
      <w:lvlText w:val="–"/>
      <w:lvlJc w:val="left"/>
      <w:pPr>
        <w:ind w:hanging="360" w:left="720"/>
        <w:tabs>
          <w:tab w:val="left" w:pos="720" w:leader="none"/>
        </w:tabs>
      </w:pPr>
      <w:rPr>
        <w:rFonts w:ascii="Arial" w:hAnsi="Arial"/>
      </w:rPr>
    </w:lvl>
    <w:lvl w:ilvl="1" w:tplc="33437447">
      <w:start w:val="1"/>
      <w:numFmt w:val="bullet"/>
      <w:suff w:val="tab"/>
      <w:lvlText w:val="o"/>
      <w:lvlJc w:val="left"/>
      <w:pPr>
        <w:ind w:hanging="360" w:left="1440"/>
        <w:tabs>
          <w:tab w:val="left" w:pos="1440" w:leader="none"/>
        </w:tabs>
      </w:pPr>
      <w:rPr>
        <w:rFonts w:ascii="Courier New" w:hAnsi="Courier New"/>
      </w:rPr>
    </w:lvl>
    <w:lvl w:ilvl="2" w:tplc="17800AA8">
      <w:start w:val="1"/>
      <w:numFmt w:val="bullet"/>
      <w:suff w:val="tab"/>
      <w:lvlText w:val=""/>
      <w:lvlJc w:val="left"/>
      <w:pPr>
        <w:ind w:hanging="360" w:left="2160"/>
        <w:tabs>
          <w:tab w:val="left" w:pos="2160" w:leader="none"/>
        </w:tabs>
      </w:pPr>
      <w:rPr>
        <w:rFonts w:ascii="Wingdings" w:hAnsi="Wingdings"/>
      </w:rPr>
    </w:lvl>
    <w:lvl w:ilvl="3" w:tplc="38164B2D">
      <w:start w:val="1"/>
      <w:numFmt w:val="bullet"/>
      <w:suff w:val="tab"/>
      <w:lvlText w:val=""/>
      <w:lvlJc w:val="left"/>
      <w:pPr>
        <w:ind w:hanging="360" w:left="2880"/>
        <w:tabs>
          <w:tab w:val="left" w:pos="2880" w:leader="none"/>
        </w:tabs>
      </w:pPr>
      <w:rPr>
        <w:rFonts w:ascii="Symbol" w:hAnsi="Symbol"/>
      </w:rPr>
    </w:lvl>
    <w:lvl w:ilvl="4" w:tplc="44DB1C3B">
      <w:start w:val="1"/>
      <w:numFmt w:val="bullet"/>
      <w:suff w:val="tab"/>
      <w:lvlText w:val="o"/>
      <w:lvlJc w:val="left"/>
      <w:pPr>
        <w:ind w:hanging="360" w:left="3600"/>
        <w:tabs>
          <w:tab w:val="left" w:pos="3600" w:leader="none"/>
        </w:tabs>
      </w:pPr>
      <w:rPr>
        <w:rFonts w:ascii="Courier New" w:hAnsi="Courier New"/>
      </w:rPr>
    </w:lvl>
    <w:lvl w:ilvl="5" w:tplc="7A2EA506">
      <w:start w:val="1"/>
      <w:numFmt w:val="bullet"/>
      <w:suff w:val="tab"/>
      <w:lvlText w:val=""/>
      <w:lvlJc w:val="left"/>
      <w:pPr>
        <w:ind w:hanging="360" w:left="4320"/>
        <w:tabs>
          <w:tab w:val="left" w:pos="4320" w:leader="none"/>
        </w:tabs>
      </w:pPr>
      <w:rPr>
        <w:rFonts w:ascii="Wingdings" w:hAnsi="Wingdings"/>
      </w:rPr>
    </w:lvl>
    <w:lvl w:ilvl="6" w:tplc="64F2A2E8">
      <w:start w:val="1"/>
      <w:numFmt w:val="bullet"/>
      <w:suff w:val="tab"/>
      <w:lvlText w:val=""/>
      <w:lvlJc w:val="left"/>
      <w:pPr>
        <w:ind w:hanging="360" w:left="5040"/>
        <w:tabs>
          <w:tab w:val="left" w:pos="5040" w:leader="none"/>
        </w:tabs>
      </w:pPr>
      <w:rPr>
        <w:rFonts w:ascii="Symbol" w:hAnsi="Symbol"/>
      </w:rPr>
    </w:lvl>
    <w:lvl w:ilvl="7" w:tplc="1546077F">
      <w:start w:val="1"/>
      <w:numFmt w:val="bullet"/>
      <w:suff w:val="tab"/>
      <w:lvlText w:val="o"/>
      <w:lvlJc w:val="left"/>
      <w:pPr>
        <w:ind w:hanging="360" w:left="5760"/>
        <w:tabs>
          <w:tab w:val="left" w:pos="5760" w:leader="none"/>
        </w:tabs>
      </w:pPr>
      <w:rPr>
        <w:rFonts w:ascii="Courier New" w:hAnsi="Courier New"/>
      </w:rPr>
    </w:lvl>
    <w:lvl w:ilvl="8" w:tplc="3A223B3A">
      <w:start w:val="1"/>
      <w:numFmt w:val="bullet"/>
      <w:suff w:val="tab"/>
      <w:lvlText w:val=""/>
      <w:lvlJc w:val="left"/>
      <w:pPr>
        <w:ind w:hanging="360" w:left="6480"/>
        <w:tabs>
          <w:tab w:val="left" w:pos="6480" w:leader="none"/>
        </w:tabs>
      </w:pPr>
      <w:rPr>
        <w:rFonts w:ascii="Wingdings" w:hAnsi="Wingdings"/>
      </w:rPr>
    </w:lvl>
  </w:abstractNum>
  <w:abstractNum w:abstractNumId="2">
    <w:nsid w:val="21A3212D"/>
    <w:multiLevelType w:val="hybridMultilevel"/>
    <w:lvl w:ilvl="0" w:tplc="06A44841">
      <w:start w:val="0"/>
      <w:numFmt w:val="bullet"/>
      <w:suff w:val="tab"/>
      <w:lvlText w:val="-"/>
      <w:lvlJc w:val="left"/>
      <w:pPr>
        <w:ind w:hanging="360" w:left="720"/>
        <w:tabs>
          <w:tab w:val="left" w:pos="720" w:leader="none"/>
        </w:tabs>
      </w:pPr>
      <w:rPr>
        <w:rFonts w:ascii="Arial" w:hAnsi="Arial"/>
      </w:rPr>
    </w:lvl>
    <w:lvl w:ilvl="1" w:tplc="16E2CACA">
      <w:start w:val="1"/>
      <w:numFmt w:val="bullet"/>
      <w:suff w:val="tab"/>
      <w:lvlText w:val="o"/>
      <w:lvlJc w:val="left"/>
      <w:pPr>
        <w:ind w:hanging="360" w:left="1440"/>
        <w:tabs>
          <w:tab w:val="left" w:pos="1440" w:leader="none"/>
        </w:tabs>
      </w:pPr>
      <w:rPr>
        <w:rFonts w:ascii="Courier New" w:hAnsi="Courier New"/>
      </w:rPr>
    </w:lvl>
    <w:lvl w:ilvl="2" w:tplc="73FF252E">
      <w:start w:val="1"/>
      <w:numFmt w:val="bullet"/>
      <w:suff w:val="tab"/>
      <w:lvlText w:val=""/>
      <w:lvlJc w:val="left"/>
      <w:pPr>
        <w:ind w:hanging="360" w:left="2160"/>
        <w:tabs>
          <w:tab w:val="left" w:pos="2160" w:leader="none"/>
        </w:tabs>
      </w:pPr>
      <w:rPr>
        <w:rFonts w:ascii="Wingdings" w:hAnsi="Wingdings"/>
      </w:rPr>
    </w:lvl>
    <w:lvl w:ilvl="3" w:tplc="56A5BFE7">
      <w:start w:val="1"/>
      <w:numFmt w:val="bullet"/>
      <w:suff w:val="tab"/>
      <w:lvlText w:val=""/>
      <w:lvlJc w:val="left"/>
      <w:pPr>
        <w:ind w:hanging="360" w:left="2880"/>
        <w:tabs>
          <w:tab w:val="left" w:pos="2880" w:leader="none"/>
        </w:tabs>
      </w:pPr>
      <w:rPr>
        <w:rFonts w:ascii="Symbol" w:hAnsi="Symbol"/>
      </w:rPr>
    </w:lvl>
    <w:lvl w:ilvl="4" w:tplc="4BF5798D">
      <w:start w:val="1"/>
      <w:numFmt w:val="bullet"/>
      <w:suff w:val="tab"/>
      <w:lvlText w:val="o"/>
      <w:lvlJc w:val="left"/>
      <w:pPr>
        <w:ind w:hanging="360" w:left="3600"/>
        <w:tabs>
          <w:tab w:val="left" w:pos="3600" w:leader="none"/>
        </w:tabs>
      </w:pPr>
      <w:rPr>
        <w:rFonts w:ascii="Courier New" w:hAnsi="Courier New"/>
      </w:rPr>
    </w:lvl>
    <w:lvl w:ilvl="5" w:tplc="7ADB2B55">
      <w:start w:val="1"/>
      <w:numFmt w:val="bullet"/>
      <w:suff w:val="tab"/>
      <w:lvlText w:val=""/>
      <w:lvlJc w:val="left"/>
      <w:pPr>
        <w:ind w:hanging="360" w:left="4320"/>
        <w:tabs>
          <w:tab w:val="left" w:pos="4320" w:leader="none"/>
        </w:tabs>
      </w:pPr>
      <w:rPr>
        <w:rFonts w:ascii="Wingdings" w:hAnsi="Wingdings"/>
      </w:rPr>
    </w:lvl>
    <w:lvl w:ilvl="6" w:tplc="605D7D41">
      <w:start w:val="1"/>
      <w:numFmt w:val="bullet"/>
      <w:suff w:val="tab"/>
      <w:lvlText w:val=""/>
      <w:lvlJc w:val="left"/>
      <w:pPr>
        <w:ind w:hanging="360" w:left="5040"/>
        <w:tabs>
          <w:tab w:val="left" w:pos="5040" w:leader="none"/>
        </w:tabs>
      </w:pPr>
      <w:rPr>
        <w:rFonts w:ascii="Symbol" w:hAnsi="Symbol"/>
      </w:rPr>
    </w:lvl>
    <w:lvl w:ilvl="7" w:tplc="4F5DFFA2">
      <w:start w:val="1"/>
      <w:numFmt w:val="bullet"/>
      <w:suff w:val="tab"/>
      <w:lvlText w:val="o"/>
      <w:lvlJc w:val="left"/>
      <w:pPr>
        <w:ind w:hanging="360" w:left="5760"/>
        <w:tabs>
          <w:tab w:val="left" w:pos="5760" w:leader="none"/>
        </w:tabs>
      </w:pPr>
      <w:rPr>
        <w:rFonts w:ascii="Courier New" w:hAnsi="Courier New"/>
      </w:rPr>
    </w:lvl>
    <w:lvl w:ilvl="8" w:tplc="7468734D">
      <w:start w:val="1"/>
      <w:numFmt w:val="bullet"/>
      <w:suff w:val="tab"/>
      <w:lvlText w:val=""/>
      <w:lvlJc w:val="left"/>
      <w:pPr>
        <w:ind w:hanging="360" w:left="6480"/>
        <w:tabs>
          <w:tab w:val="left" w:pos="6480" w:leader="none"/>
        </w:tabs>
      </w:pPr>
      <w:rPr>
        <w:rFonts w:ascii="Wingdings" w:hAnsi="Wingdings"/>
      </w:rPr>
    </w:lvl>
  </w:abstractNum>
  <w:abstractNum w:abstractNumId="3">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
    <w:nsid w:val="6B666B95"/>
    <w:multiLevelType w:val="hybridMultilevel"/>
    <w:lvl w:ilvl="0" w:tplc="6F9AB596">
      <w:start w:val="0"/>
      <w:numFmt w:val="bullet"/>
      <w:suff w:val="tab"/>
      <w:lvlText w:val="-"/>
      <w:lvlJc w:val="left"/>
      <w:pPr>
        <w:ind w:hanging="360" w:left="720"/>
        <w:tabs>
          <w:tab w:val="left" w:pos="720" w:leader="none"/>
        </w:tabs>
      </w:pPr>
      <w:rPr>
        <w:rFonts w:ascii="Times New Roman" w:hAnsi="Times New Roman"/>
      </w:rPr>
    </w:lvl>
    <w:lvl w:ilvl="1" w:tplc="0CBBAA23">
      <w:start w:val="1"/>
      <w:numFmt w:val="bullet"/>
      <w:suff w:val="tab"/>
      <w:lvlText w:val="o"/>
      <w:lvlJc w:val="left"/>
      <w:pPr>
        <w:ind w:hanging="360" w:left="1440"/>
        <w:tabs>
          <w:tab w:val="left" w:pos="1440" w:leader="none"/>
        </w:tabs>
      </w:pPr>
      <w:rPr>
        <w:rFonts w:ascii="Courier New" w:hAnsi="Courier New"/>
      </w:rPr>
    </w:lvl>
    <w:lvl w:ilvl="2" w:tplc="2AF61B0C">
      <w:start w:val="1"/>
      <w:numFmt w:val="bullet"/>
      <w:suff w:val="tab"/>
      <w:lvlText w:val=""/>
      <w:lvlJc w:val="left"/>
      <w:pPr>
        <w:ind w:hanging="360" w:left="2160"/>
        <w:tabs>
          <w:tab w:val="left" w:pos="2160" w:leader="none"/>
        </w:tabs>
      </w:pPr>
      <w:rPr>
        <w:rFonts w:ascii="Wingdings" w:hAnsi="Wingdings"/>
      </w:rPr>
    </w:lvl>
    <w:lvl w:ilvl="3" w:tplc="560C6A9F">
      <w:start w:val="1"/>
      <w:numFmt w:val="bullet"/>
      <w:suff w:val="tab"/>
      <w:lvlText w:val=""/>
      <w:lvlJc w:val="left"/>
      <w:pPr>
        <w:ind w:hanging="360" w:left="2880"/>
        <w:tabs>
          <w:tab w:val="left" w:pos="2880" w:leader="none"/>
        </w:tabs>
      </w:pPr>
      <w:rPr>
        <w:rFonts w:ascii="Symbol" w:hAnsi="Symbol"/>
      </w:rPr>
    </w:lvl>
    <w:lvl w:ilvl="4" w:tplc="2ED7EAE9">
      <w:start w:val="1"/>
      <w:numFmt w:val="bullet"/>
      <w:suff w:val="tab"/>
      <w:lvlText w:val="o"/>
      <w:lvlJc w:val="left"/>
      <w:pPr>
        <w:ind w:hanging="360" w:left="3600"/>
        <w:tabs>
          <w:tab w:val="left" w:pos="3600" w:leader="none"/>
        </w:tabs>
      </w:pPr>
      <w:rPr>
        <w:rFonts w:ascii="Courier New" w:hAnsi="Courier New"/>
      </w:rPr>
    </w:lvl>
    <w:lvl w:ilvl="5" w:tplc="62BCB890">
      <w:start w:val="1"/>
      <w:numFmt w:val="bullet"/>
      <w:suff w:val="tab"/>
      <w:lvlText w:val=""/>
      <w:lvlJc w:val="left"/>
      <w:pPr>
        <w:ind w:hanging="360" w:left="4320"/>
        <w:tabs>
          <w:tab w:val="left" w:pos="4320" w:leader="none"/>
        </w:tabs>
      </w:pPr>
      <w:rPr>
        <w:rFonts w:ascii="Wingdings" w:hAnsi="Wingdings"/>
      </w:rPr>
    </w:lvl>
    <w:lvl w:ilvl="6" w:tplc="701A1405">
      <w:start w:val="1"/>
      <w:numFmt w:val="bullet"/>
      <w:suff w:val="tab"/>
      <w:lvlText w:val=""/>
      <w:lvlJc w:val="left"/>
      <w:pPr>
        <w:ind w:hanging="360" w:left="5040"/>
        <w:tabs>
          <w:tab w:val="left" w:pos="5040" w:leader="none"/>
        </w:tabs>
      </w:pPr>
      <w:rPr>
        <w:rFonts w:ascii="Symbol" w:hAnsi="Symbol"/>
      </w:rPr>
    </w:lvl>
    <w:lvl w:ilvl="7" w:tplc="39076B0F">
      <w:start w:val="1"/>
      <w:numFmt w:val="bullet"/>
      <w:suff w:val="tab"/>
      <w:lvlText w:val="o"/>
      <w:lvlJc w:val="left"/>
      <w:pPr>
        <w:ind w:hanging="360" w:left="5760"/>
        <w:tabs>
          <w:tab w:val="left" w:pos="5760" w:leader="none"/>
        </w:tabs>
      </w:pPr>
      <w:rPr>
        <w:rFonts w:ascii="Courier New" w:hAnsi="Courier New"/>
      </w:rPr>
    </w:lvl>
    <w:lvl w:ilvl="8" w:tplc="6F7A3EFB">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2013-05-31T08:23:00Z</dcterms:created>
  <cp:lastModifiedBy>Nikola Kapetanovic</cp:lastModifiedBy>
  <cp:lastPrinted>2013-04-30T08:15:00Z</cp:lastPrinted>
  <dcterms:modified xsi:type="dcterms:W3CDTF">2020-01-10T11:42:32Z</dcterms:modified>
  <cp:revision>9</cp:revision>
  <dc:title>Промет робе у трговини на мало у Републици Србији, јануар 2003</dc:title>
</cp:coreProperties>
</file>