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71B19B" Type="http://schemas.openxmlformats.org/officeDocument/2006/relationships/officeDocument" Target="/word/document.xml" /><Relationship Id="coreR271B19B"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Ind w:w="1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autofit"/>
        <w:tblCellMar>
          <w:top w:w="0" w:type="dxa"/>
          <w:left w:w="28" w:type="dxa"/>
          <w:bottom w:w="0" w:type="dxa"/>
          <w:right w:w="28" w:type="dxa"/>
        </w:tblCellMar>
      </w:tblPr>
      <w:tblGrid/>
      <w:tr>
        <w:trPr>
          <w:wAfter w:w="0" w:type="dxa"/>
          <w:trHeight w:hRule="exact" w:val="113"/>
        </w:trPr>
        <w:tc>
          <w:tcPr>
            <w:tcW w:w="1743" w:type="dxa"/>
            <w:vMerge w:val="restart"/>
            <w:tcBorders>
              <w:top w:val="single" w:sz="18" w:space="0" w:shadow="0" w:frame="0" w:color="808080"/>
              <w:left w:val="none" w:sz="0" w:space="0" w:shadow="0" w:frame="0"/>
              <w:bottom w:val="none" w:sz="0" w:space="0" w:shadow="0" w:frame="0"/>
            </w:tcBorders>
            <w:vAlign w:val="center"/>
          </w:tcPr>
          <w:p>
            <w:pPr>
              <w:rPr>
                <w:rFonts w:ascii="Arial" w:hAnsi="Arial"/>
                <w:sz w:val="20"/>
              </w:rPr>
            </w:pPr>
            <w:r>
              <w:drawing>
                <wp:inline xmlns:wp="http://schemas.openxmlformats.org/drawingml/2006/wordprocessingDrawing">
                  <wp:extent cx="906780" cy="21780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06780" cy="217805"/>
                          </a:xfrm>
                          <a:prstGeom prst="rect"/>
                          <a:noFill/>
                        </pic:spPr>
                      </pic:pic>
                    </a:graphicData>
                  </a:graphic>
                </wp:inline>
              </w:drawing>
            </w:r>
          </w:p>
        </w:tc>
        <w:tc>
          <w:tcPr>
            <w:tcW w:w="5231" w:type="dxa"/>
            <w:vMerge w:val="restart"/>
            <w:tcBorders>
              <w:top w:val="single" w:sz="18" w:space="0" w:shadow="0" w:frame="0" w:color="808080"/>
              <w:left w:val="none" w:sz="0" w:space="0" w:shadow="0" w:frame="0"/>
              <w:bottom w:val="none" w:sz="0" w:space="0" w:shadow="0" w:frame="0"/>
            </w:tcBorders>
            <w:vAlign w:val="center"/>
          </w:tcPr>
          <w:p>
            <w:pPr>
              <w:rPr>
                <w:rFonts w:ascii="Arial" w:hAnsi="Arial"/>
                <w:sz w:val="20"/>
              </w:rPr>
            </w:pPr>
            <w:r>
              <w:rPr>
                <w:rFonts w:ascii="Arial" w:hAnsi="Arial"/>
                <w:sz w:val="20"/>
              </w:rPr>
              <w:t>Statistical Office of the Republic of Serbia</w:t>
            </w:r>
          </w:p>
        </w:tc>
        <w:tc>
          <w:tcPr>
            <w:tcW w:w="2880" w:type="dxa"/>
            <w:tcBorders>
              <w:top w:val="single" w:sz="18" w:space="0" w:shadow="0" w:frame="0" w:color="808080"/>
              <w:bottom w:val="none" w:sz="0" w:space="0" w:shadow="0" w:frame="0"/>
              <w:right w:val="none" w:sz="0" w:space="0" w:shadow="0" w:frame="0"/>
            </w:tcBorders>
            <w:vAlign w:val="center"/>
          </w:tcPr>
          <w:p>
            <w:pPr>
              <w:rPr>
                <w:b w:val="1"/>
              </w:rPr>
            </w:pPr>
          </w:p>
        </w:tc>
      </w:tr>
      <w:tr>
        <w:trPr>
          <w:wAfter w:w="0" w:type="dxa"/>
          <w:trHeight w:hRule="atLeast" w:val="494"/>
        </w:trPr>
        <w:tc>
          <w:tcPr>
            <w:tcW w:w="1743" w:type="dxa"/>
            <w:vMerge w:val="continue"/>
            <w:tcBorders>
              <w:top w:val="none" w:sz="0" w:space="0" w:shadow="0" w:frame="0"/>
              <w:left w:val="none" w:sz="0" w:space="0" w:shadow="0" w:frame="0"/>
              <w:bottom w:val="none" w:sz="0" w:space="0" w:shadow="0" w:frame="0"/>
            </w:tcBorders>
          </w:tcPr>
          <w:p>
            <w:pPr>
              <w:pStyle w:val="P1"/>
              <w:ind w:left="144"/>
              <w:rPr>
                <w:b w:val="1"/>
              </w:rPr>
            </w:pPr>
          </w:p>
        </w:tc>
        <w:tc>
          <w:tcPr>
            <w:tcW w:w="5231" w:type="dxa"/>
            <w:vMerge w:val="continue"/>
            <w:tcBorders>
              <w:top w:val="none" w:sz="0" w:space="0" w:shadow="0" w:frame="0"/>
              <w:left w:val="none" w:sz="0" w:space="0" w:shadow="0" w:frame="0"/>
              <w:bottom w:val="none" w:sz="0" w:space="0" w:shadow="0" w:frame="0"/>
            </w:tcBorders>
            <w:vAlign w:val="center"/>
          </w:tcPr>
          <w:p>
            <w:pPr>
              <w:pStyle w:val="P1"/>
              <w:ind w:left="144"/>
              <w:rPr>
                <w:b w:val="1"/>
              </w:rPr>
            </w:pPr>
          </w:p>
        </w:tc>
        <w:tc>
          <w:tcPr>
            <w:tcW w:w="2880" w:type="dxa"/>
            <w:tcBorders>
              <w:top w:val="none" w:sz="0" w:space="0" w:shadow="0" w:frame="0"/>
              <w:bottom w:val="none" w:sz="0" w:space="0" w:shadow="0" w:frame="0"/>
              <w:right w:val="none" w:sz="0" w:space="0" w:shadow="0" w:frame="0"/>
            </w:tcBorders>
            <w:vAlign w:val="center"/>
          </w:tcPr>
          <w:p>
            <w:pPr>
              <w:pStyle w:val="P6"/>
              <w:jc w:val="right"/>
              <w:rPr>
                <w:b w:val="1"/>
              </w:rPr>
            </w:pPr>
            <w:r>
              <w:rPr>
                <w:b w:val="0"/>
              </w:rPr>
              <w:t>ISSN 0353-9555</w:t>
            </w:r>
          </w:p>
        </w:tc>
      </w:tr>
      <w:tr>
        <w:trPr>
          <w:wAfter w:w="0" w:type="dxa"/>
          <w:trHeight w:hRule="atLeast" w:val="855"/>
        </w:trPr>
        <w:tc>
          <w:tcPr>
            <w:tcW w:w="6974" w:type="dxa"/>
            <w:gridSpan w:val="2"/>
            <w:tcBorders>
              <w:top w:val="none" w:sz="0" w:space="0" w:shadow="0" w:frame="0"/>
              <w:left w:val="none" w:sz="0" w:space="0" w:shadow="0" w:frame="0"/>
              <w:right w:val="none" w:sz="0" w:space="0" w:shadow="0" w:frame="0"/>
            </w:tcBorders>
            <w:vAlign w:val="center"/>
          </w:tcPr>
          <w:p>
            <w:pPr>
              <w:rPr>
                <w:color w:val="808080"/>
                <w:sz w:val="20"/>
              </w:rPr>
            </w:pPr>
            <w:r>
              <w:rPr>
                <w:rFonts w:ascii="Arial" w:hAnsi="Arial"/>
                <w:b w:val="1"/>
                <w:color w:val="808080"/>
                <w:sz w:val="48"/>
              </w:rPr>
              <w:t>STATISTICAL RELEASE</w:t>
            </w:r>
          </w:p>
        </w:tc>
        <w:tc>
          <w:tcPr>
            <w:tcW w:w="2880" w:type="dxa"/>
            <w:vMerge w:val="restart"/>
            <w:tcBorders>
              <w:top w:val="none" w:sz="0" w:space="0" w:shadow="0" w:frame="0"/>
              <w:left w:val="none" w:sz="0" w:space="0" w:shadow="0" w:frame="0"/>
              <w:right w:val="none" w:sz="0" w:space="0" w:shadow="0" w:frame="0"/>
            </w:tcBorders>
            <w:vAlign w:val="center"/>
          </w:tcPr>
          <w:p>
            <w:pPr>
              <w:jc w:val="right"/>
              <w:rPr>
                <w:b w:val="1"/>
                <w:color w:val="808080"/>
                <w:sz w:val="12"/>
              </w:rPr>
            </w:pPr>
            <w:r>
              <w:rPr>
                <w:rFonts w:ascii="Arial" w:hAnsi="Arial"/>
                <w:b w:val="1"/>
                <w:color w:val="808080"/>
                <w:sz w:val="48"/>
              </w:rPr>
              <w:t>SV22</w:t>
            </w:r>
          </w:p>
        </w:tc>
      </w:tr>
      <w:tr>
        <w:trPr>
          <w:wAfter w:w="0" w:type="dxa"/>
          <w:trHeight w:hRule="exact" w:val="285"/>
        </w:trPr>
        <w:tc>
          <w:tcPr>
            <w:tcW w:w="6974" w:type="dxa"/>
            <w:gridSpan w:val="2"/>
            <w:tcBorders>
              <w:top w:val="none" w:sz="0" w:space="0" w:shadow="0" w:frame="0"/>
              <w:left w:val="none" w:sz="0" w:space="0" w:shadow="0" w:frame="0"/>
              <w:bottom w:val="none" w:sz="0" w:space="0" w:shadow="0" w:frame="0"/>
              <w:right w:val="none" w:sz="0" w:space="0" w:shadow="0" w:frame="0"/>
            </w:tcBorders>
            <w:vAlign w:val="bottom"/>
          </w:tcPr>
          <w:p>
            <w:pPr>
              <w:rPr>
                <w:rFonts w:ascii="Arial" w:hAnsi="Arial"/>
                <w:sz w:val="20"/>
              </w:rPr>
            </w:pPr>
            <w:r>
              <w:rPr>
                <w:rFonts w:ascii="Arial" w:hAnsi="Arial"/>
                <w:sz w:val="20"/>
              </w:rPr>
              <w:t>Number 141 • Year LXIII, 31/05/2013</w:t>
            </w:r>
          </w:p>
        </w:tc>
        <w:tc>
          <w:tcPr>
            <w:tcW w:w="2880" w:type="dxa"/>
            <w:vMerge w:val="continue"/>
            <w:tcBorders>
              <w:left w:val="none" w:sz="0" w:space="0" w:shadow="0" w:frame="0"/>
              <w:bottom w:val="none" w:sz="0" w:space="0" w:shadow="0" w:frame="0"/>
              <w:right w:val="none" w:sz="0" w:space="0" w:shadow="0" w:frame="0"/>
            </w:tcBorders>
            <w:vAlign w:val="center"/>
          </w:tcPr>
          <w:p>
            <w:pPr>
              <w:jc w:val="right"/>
              <w:rPr>
                <w:rFonts w:ascii="Arial" w:hAnsi="Arial"/>
                <w:b w:val="1"/>
                <w:sz w:val="48"/>
              </w:rPr>
            </w:pPr>
          </w:p>
        </w:tc>
      </w:tr>
      <w:tr>
        <w:trPr>
          <w:wAfter w:w="0" w:type="dxa"/>
          <w:trHeight w:hRule="exact" w:val="305"/>
        </w:trPr>
        <w:tc>
          <w:tcPr>
            <w:tcW w:w="6974" w:type="dxa"/>
            <w:gridSpan w:val="2"/>
            <w:vMerge w:val="restart"/>
            <w:tcBorders>
              <w:top w:val="none" w:sz="0" w:space="0" w:shadow="0" w:frame="0"/>
              <w:left w:val="none" w:sz="0" w:space="0" w:shadow="0" w:frame="0"/>
              <w:bottom w:val="single" w:sz="18" w:space="0" w:shadow="0" w:frame="0" w:color="808080"/>
              <w:right w:val="none" w:sz="0" w:space="0" w:shadow="0" w:frame="0"/>
            </w:tcBorders>
            <w:vAlign w:val="center"/>
          </w:tcPr>
          <w:p>
            <w:pPr>
              <w:rPr>
                <w:b w:val="1"/>
              </w:rPr>
            </w:pPr>
            <w:r>
              <w:rPr>
                <w:rFonts w:ascii="Arial" w:hAnsi="Arial"/>
                <w:b w:val="1"/>
              </w:rPr>
              <w:t>Statistics of Transport and Communications</w:t>
            </w:r>
          </w:p>
        </w:tc>
        <w:tc>
          <w:tcPr>
            <w:tcW w:w="2880" w:type="dxa"/>
            <w:tcBorders>
              <w:top w:val="none" w:sz="0" w:space="0" w:shadow="0" w:frame="0"/>
              <w:left w:val="none" w:sz="0" w:space="0" w:shadow="0" w:frame="0"/>
              <w:bottom w:val="none" w:sz="0" w:space="0" w:shadow="0" w:frame="0"/>
              <w:right w:val="none" w:sz="0" w:space="0" w:shadow="0" w:frame="0"/>
            </w:tcBorders>
            <w:vAlign w:val="center"/>
          </w:tcPr>
          <w:p>
            <w:pPr>
              <w:pStyle w:val="P7"/>
              <w:jc w:val="right"/>
              <w:rPr>
                <w:b w:val="1"/>
              </w:rPr>
            </w:pPr>
            <w:r>
              <w:rPr>
                <w:b w:val="0"/>
                <w:sz w:val="20"/>
              </w:rPr>
              <w:t>SERB</w:t>
            </w:r>
            <w:r>
              <w:rPr>
                <w:b w:val="0"/>
                <w:sz w:val="20"/>
              </w:rPr>
              <w:t>141</w:t>
            </w:r>
            <w:r>
              <w:rPr>
                <w:b w:val="0"/>
                <w:sz w:val="20"/>
              </w:rPr>
              <w:t xml:space="preserve"> </w:t>
            </w:r>
            <w:r>
              <w:rPr>
                <w:b w:val="0"/>
                <w:sz w:val="20"/>
              </w:rPr>
              <w:t xml:space="preserve">SV22 </w:t>
            </w:r>
            <w:r>
              <w:rPr>
                <w:b w:val="0"/>
                <w:sz w:val="20"/>
              </w:rPr>
              <w:t>310513</w:t>
            </w:r>
          </w:p>
        </w:tc>
      </w:tr>
      <w:tr>
        <w:trPr>
          <w:wAfter w:w="0" w:type="dxa"/>
          <w:trHeight w:hRule="exact" w:val="113"/>
        </w:trPr>
        <w:tc>
          <w:tcPr>
            <w:tcW w:w="6974" w:type="dxa"/>
            <w:gridSpan w:val="2"/>
            <w:vMerge w:val="continue"/>
            <w:tcBorders>
              <w:top w:val="none" w:sz="0" w:space="0" w:shadow="0" w:frame="0"/>
              <w:left w:val="none" w:sz="0" w:space="0" w:shadow="0" w:frame="0"/>
              <w:bottom w:val="single" w:sz="18" w:space="0" w:shadow="0" w:frame="0" w:color="808080"/>
            </w:tcBorders>
          </w:tcPr>
          <w:p>
            <w:pPr>
              <w:pStyle w:val="P1"/>
              <w:ind w:left="144"/>
              <w:rPr>
                <w:b w:val="1"/>
              </w:rPr>
            </w:pPr>
          </w:p>
        </w:tc>
        <w:tc>
          <w:tcPr>
            <w:tcW w:w="2880" w:type="dxa"/>
            <w:tcBorders>
              <w:top w:val="none" w:sz="0" w:space="0" w:shadow="0" w:frame="0"/>
              <w:bottom w:val="single" w:sz="18" w:space="0" w:shadow="0" w:frame="0" w:color="808080"/>
              <w:right w:val="none" w:sz="0" w:space="0" w:shadow="0" w:frame="0"/>
            </w:tcBorders>
            <w:vAlign w:val="center"/>
          </w:tcPr>
          <w:p>
            <w:pPr>
              <w:pStyle w:val="P1"/>
              <w:jc w:val="center"/>
              <w:rPr>
                <w:b w:val="1"/>
              </w:rPr>
            </w:pPr>
          </w:p>
        </w:tc>
      </w:tr>
    </w:tbl>
    <w:p/>
    <w:p>
      <w:pPr>
        <w:jc w:val="center"/>
        <w:rPr>
          <w:rFonts w:ascii="Arial" w:hAnsi="Arial"/>
          <w:b w:val="1"/>
        </w:rPr>
      </w:pPr>
    </w:p>
    <w:p>
      <w:pPr>
        <w:pStyle w:val="P8"/>
        <w:rPr>
          <w:sz w:val="24"/>
        </w:rPr>
      </w:pPr>
      <w:r>
        <w:rPr>
          <w:sz w:val="24"/>
        </w:rPr>
        <w:t xml:space="preserve">First time registered road motor vehicles and trailers and </w:t>
      </w:r>
    </w:p>
    <w:p>
      <w:pPr>
        <w:pStyle w:val="P6"/>
        <w:rPr>
          <w:sz w:val="24"/>
        </w:rPr>
      </w:pPr>
      <w:r>
        <w:rPr>
          <w:sz w:val="24"/>
        </w:rPr>
        <w:t>injury road accidents in the Republic of Serbia</w:t>
      </w:r>
    </w:p>
    <w:p>
      <w:pPr>
        <w:pStyle w:val="P6"/>
        <w:spacing w:before="240" w:after="240"/>
        <w:rPr>
          <w:sz w:val="22"/>
        </w:rPr>
      </w:pPr>
      <w:r>
        <w:rPr>
          <w:sz w:val="22"/>
        </w:rPr>
        <w:t xml:space="preserve">- I quarter 2013 -  </w:t>
      </w:r>
    </w:p>
    <w:p>
      <w:pPr>
        <w:pStyle w:val="P13"/>
        <w:spacing w:before="120"/>
        <w:ind w:firstLine="397" w:left="0"/>
        <w:rPr>
          <w:sz w:val="20"/>
        </w:rPr>
      </w:pPr>
      <w:r>
        <w:rPr>
          <w:sz w:val="20"/>
        </w:rPr>
        <w:t>During the 1</w:t>
      </w:r>
      <w:r>
        <w:rPr>
          <w:sz w:val="20"/>
          <w:vertAlign w:val="superscript"/>
        </w:rPr>
        <w:t>st</w:t>
      </w:r>
      <w:r>
        <w:rPr>
          <w:sz w:val="20"/>
        </w:rPr>
        <w:t xml:space="preserve"> quarter of 2013, in the Republic of Serbia, it can be noted that number of first time registered road motor vehicles increased, excluding mopeds, motorcycles and buses. Observing the database, it can be concluded that 69.4% of trailers was of the capacity below 1000 kg and it corresponds, by capacity, to trailers intended for passengers’ vehicles. The greatest number of road motor vehicles was produced by the following manufacturers: Zastava (domestic trademark) and Fiat, Renault, Opel, and VW (foreign trademarks).</w:t>
      </w:r>
      <w:r>
        <w:rPr>
          <w:sz w:val="18"/>
        </w:rPr>
        <w:t xml:space="preserve"> </w:t>
      </w:r>
    </w:p>
    <w:p>
      <w:pPr>
        <w:pStyle w:val="P13"/>
        <w:ind w:firstLine="397" w:left="0"/>
        <w:rPr>
          <w:sz w:val="20"/>
        </w:rPr>
      </w:pPr>
      <w:r>
        <w:rPr>
          <w:sz w:val="20"/>
        </w:rPr>
        <w:t xml:space="preserve">Based on the results, it can be concluded that the most frequent number of freight vehicles was of the capacity from 1500 to 4999 kg, as well as that the greatest number of such vehicles was with Euro- diesel motor energy, indicating the rejuvenation of the fleet that is in accordance with the latest European regulations.   </w:t>
      </w:r>
    </w:p>
    <w:p>
      <w:pPr>
        <w:pStyle w:val="P13"/>
        <w:ind w:firstLine="397" w:left="0"/>
        <w:rPr>
          <w:sz w:val="20"/>
        </w:rPr>
      </w:pPr>
      <w:r>
        <w:rPr>
          <w:sz w:val="20"/>
        </w:rPr>
        <w:t>Regarding the recently manufactured passengers’ vehicles, number of vehicles with petrol and diesel motor energy was almost equal, and the most dominant were the vehicles of the engine size of up to 2000 cm</w:t>
      </w:r>
      <w:r>
        <w:rPr>
          <w:sz w:val="20"/>
          <w:vertAlign w:val="superscript"/>
        </w:rPr>
        <w:t>3</w:t>
      </w:r>
      <w:r>
        <w:rPr>
          <w:sz w:val="20"/>
        </w:rPr>
        <w:t xml:space="preserve">.  </w:t>
      </w:r>
    </w:p>
    <w:p>
      <w:pPr>
        <w:pStyle w:val="P13"/>
        <w:spacing w:before="120" w:after="120"/>
        <w:ind w:firstLine="397" w:left="0"/>
        <w:rPr>
          <w:sz w:val="20"/>
        </w:rPr>
      </w:pPr>
      <w:r>
        <w:rPr>
          <w:sz w:val="20"/>
        </w:rPr>
        <w:t xml:space="preserve">Total number of injury road accidents in the first quarter of 2013 increased by 17.5%, when compared to the same period 2012. Increase of injury road accidents with killed persons outside built-up areas amounted to 44.4%. </w:t>
      </w:r>
    </w:p>
    <w:p>
      <w:pPr>
        <w:pStyle w:val="P13"/>
        <w:spacing w:before="120" w:after="120"/>
        <w:ind w:firstLine="397" w:left="0"/>
        <w:rPr>
          <w:sz w:val="20"/>
        </w:rPr>
      </w:pPr>
      <w:r>
        <w:rPr>
          <w:sz w:val="20"/>
        </w:rPr>
        <w:t xml:space="preserve">Number of casualties in the first quarter of 2013 was increased by 15.1%, respective to the same period 2012, while number of killed persons outside built-up areas increased by 55.6%. </w:t>
      </w:r>
    </w:p>
    <w:p>
      <w:pPr>
        <w:pStyle w:val="P13"/>
        <w:spacing w:before="120"/>
        <w:ind w:firstLine="397" w:left="0"/>
        <w:rPr>
          <w:sz w:val="20"/>
        </w:rPr>
      </w:pPr>
    </w:p>
    <w:p>
      <w:pPr>
        <w:pStyle w:val="P13"/>
        <w:spacing w:before="120" w:after="120"/>
        <w:ind w:firstLine="720" w:left="0"/>
        <w:rPr>
          <w:sz w:val="18"/>
        </w:rPr>
      </w:pP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457200</wp:posOffset>
                </wp:positionH>
                <wp:positionV relativeFrom="paragraph">
                  <wp:posOffset>165735</wp:posOffset>
                </wp:positionV>
                <wp:extent cx="5391150" cy="412750"/>
                <wp:wrapNone/>
                <wp:docPr id="2" name="Text Box 2"/>
                <a:graphic xmlns:a="http://schemas.openxmlformats.org/drawingml/2006/main">
                  <a:graphicData uri="http://schemas.microsoft.com/office/word/2010/wordprocessingShape">
                    <wps:wsp>
                      <wps:cNvSpPr/>
                      <wps:spPr>
                        <a:xfrm>
                          <a:off x="0" y="0"/>
                          <a:ext cx="5391150" cy="412750"/>
                        </a:xfrm>
                        <a:prstGeom prst="rect"/>
                      </wps:spPr>
                      <wps:txbx>
                        <w:txbxContent>
                          <w:p>
                            <w:pPr>
                              <w:jc w:val="center"/>
                              <w:rPr>
                                <w:rFonts w:ascii="Arial" w:hAnsi="Arial"/>
                                <w:b w:val="1"/>
                                <w:sz w:val="20"/>
                              </w:rPr>
                            </w:pPr>
                            <w:r>
                              <w:rPr>
                                <w:rFonts w:ascii="Arial" w:hAnsi="Arial"/>
                                <w:b w:val="1"/>
                                <w:sz w:val="20"/>
                              </w:rPr>
                              <w:t>Age structure</w:t>
                            </w:r>
                            <w:r>
                              <w:rPr>
                                <w:rFonts w:ascii="Arial" w:hAnsi="Arial"/>
                                <w:b w:val="1"/>
                                <w:sz w:val="20"/>
                              </w:rPr>
                              <w:t xml:space="preserve"> of first time registere</w:t>
                            </w:r>
                            <w:r>
                              <w:rPr>
                                <w:rFonts w:ascii="Arial" w:hAnsi="Arial"/>
                                <w:b w:val="1"/>
                                <w:sz w:val="20"/>
                              </w:rPr>
                              <w:t xml:space="preserve">d road motor vehicles </w:t>
                            </w:r>
                          </w:p>
                          <w:p>
                            <w:pPr>
                              <w:jc w:val="center"/>
                              <w:rPr>
                                <w:rFonts w:ascii="Arial" w:hAnsi="Arial"/>
                                <w:b w:val="1"/>
                                <w:sz w:val="20"/>
                              </w:rPr>
                            </w:pPr>
                            <w:r>
                              <w:rPr>
                                <w:rFonts w:ascii="Arial" w:hAnsi="Arial"/>
                                <w:b w:val="1"/>
                                <w:sz w:val="20"/>
                              </w:rPr>
                              <w:t>- Republic of Serbia-</w:t>
                            </w:r>
                            <w:r>
                              <w:rPr>
                                <w:rFonts w:ascii="Arial" w:hAnsi="Arial"/>
                                <w:b w:val="1"/>
                                <w:sz w:val="20"/>
                              </w:rPr>
                              <w:t xml:space="preserve"> </w:t>
                            </w:r>
                          </w:p>
                        </w:txbxContent>
                      </wps:txbx>
                      <wps:bodyPr/>
                    </wps:wsp>
                  </a:graphicData>
                </a:graphic>
              </wp:anchor>
            </w:drawing>
          </mc:Choice>
          <mc:Fallback>
            <w:pict>
              <v:shapetype id="3" path="m,l,21600r21600,l21600,xe"/>
              <v:shape xmlns:o="urn:schemas-microsoft-com:office:office" type="#3" id="Text Box 2" style="position:absolute;width:424.5pt;height:32.5pt;z-index:1;mso-wrap-distance-left:9pt;mso-wrap-distance-top:0pt;mso-wrap-distance-right:9pt;mso-wrap-distance-bottom:0pt;margin-left:36pt;margin-top:13.05pt;mso-position-horizontal:absolute;mso-position-horizontal-relative:text;mso-position-vertical:absolute;mso-position-vertical-relative:text" stroked="f" o:allowincell="t">
                <v:textbox>
                  <w:txbxContent>
                    <w:p>
                      <w:pPr>
                        <w:jc w:val="center"/>
                        <w:rPr>
                          <w:rFonts w:ascii="Arial" w:hAnsi="Arial"/>
                          <w:b w:val="1"/>
                          <w:sz w:val="20"/>
                        </w:rPr>
                      </w:pPr>
                      <w:r>
                        <w:rPr>
                          <w:rFonts w:ascii="Arial" w:hAnsi="Arial"/>
                          <w:b w:val="1"/>
                          <w:sz w:val="20"/>
                        </w:rPr>
                        <w:t>Age structure</w:t>
                      </w:r>
                      <w:r>
                        <w:rPr>
                          <w:rFonts w:ascii="Arial" w:hAnsi="Arial"/>
                          <w:b w:val="1"/>
                          <w:sz w:val="20"/>
                        </w:rPr>
                        <w:t xml:space="preserve"> of first time registere</w:t>
                      </w:r>
                      <w:r>
                        <w:rPr>
                          <w:rFonts w:ascii="Arial" w:hAnsi="Arial"/>
                          <w:b w:val="1"/>
                          <w:sz w:val="20"/>
                        </w:rPr>
                        <w:t xml:space="preserve">d road motor vehicles </w:t>
                      </w:r>
                    </w:p>
                    <w:p>
                      <w:pPr>
                        <w:jc w:val="center"/>
                        <w:rPr>
                          <w:rFonts w:ascii="Arial" w:hAnsi="Arial"/>
                          <w:b w:val="1"/>
                          <w:sz w:val="20"/>
                        </w:rPr>
                      </w:pPr>
                      <w:r>
                        <w:rPr>
                          <w:rFonts w:ascii="Arial" w:hAnsi="Arial"/>
                          <w:b w:val="1"/>
                          <w:sz w:val="20"/>
                        </w:rPr>
                        <w:t>- Republic of Serbia-</w:t>
                      </w:r>
                      <w:r>
                        <w:rPr>
                          <w:rFonts w:ascii="Arial" w:hAnsi="Arial"/>
                          <w:b w:val="1"/>
                          <w:sz w:val="20"/>
                        </w:rPr>
                        <w:t xml:space="preserve"> </w:t>
                      </w:r>
                    </w:p>
                  </w:txbxContent>
                </v:textbox>
              </v:shape>
            </w:pict>
          </mc:Fallback>
        </mc:AlternateContent>
      </w:r>
    </w:p>
    <w:p>
      <w:pPr>
        <w:pStyle w:val="P13"/>
        <w:spacing w:before="120" w:after="120"/>
        <w:ind w:firstLine="720" w:left="0"/>
        <w:rPr>
          <w:sz w:val="18"/>
        </w:rPr>
      </w:pPr>
    </w:p>
    <w:p>
      <w:pPr>
        <w:pStyle w:val="P13"/>
        <w:spacing w:before="120" w:after="120"/>
        <w:ind w:firstLine="720" w:left="0"/>
        <w:rPr>
          <w:sz w:val="18"/>
        </w:rPr>
      </w:pPr>
    </w:p>
    <w:p>
      <w:pPr>
        <w:pStyle w:val="P13"/>
        <w:spacing w:before="120" w:after="120"/>
        <w:ind w:firstLine="0" w:left="0"/>
        <w:jc w:val="center"/>
        <w:rPr>
          <w:sz w:val="18"/>
        </w:rPr>
      </w:pPr>
      <w:r>
        <w:drawing>
          <wp:inline xmlns:wp="http://schemas.openxmlformats.org/drawingml/2006/wordprocessingDrawing">
            <wp:extent cx="6299835" cy="3439160"/>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2"/>
                    <a:stretch>
                      <a:fillRect/>
                    </a:stretch>
                  </pic:blipFill>
                  <pic:spPr>
                    <a:xfrm>
                      <a:off x="0" y="0"/>
                      <a:ext cx="6299835" cy="3439160"/>
                    </a:xfrm>
                    <a:prstGeom prst="rect"/>
                    <a:noFill/>
                  </pic:spPr>
                </pic:pic>
              </a:graphicData>
            </a:graphic>
          </wp:inline>
        </w:drawing>
      </w:r>
    </w:p>
    <w:p>
      <w:pPr>
        <w:spacing w:after="60"/>
        <w:rPr>
          <w:rFonts w:ascii="Arial" w:hAnsi="Arial"/>
          <w:b w:val="1"/>
          <w:sz w:val="20"/>
        </w:rPr>
      </w:pPr>
      <w:r>
        <w:rPr>
          <w:rFonts w:ascii="Arial" w:hAnsi="Arial"/>
          <w:b w:val="1"/>
          <w:sz w:val="20"/>
        </w:rPr>
        <w:t xml:space="preserve">1.  Number of first time registered road vehicles and trailers</w:t>
      </w:r>
    </w:p>
    <w:tbl>
      <w:tblPr>
        <w:tblStyle w:val="T3"/>
        <w:tblW w:w="0" w:type="auto"/>
        <w:jc w:val="center"/>
        <w:tblLayout w:type="autofit"/>
        <w:tblCellMar>
          <w:left w:w="28" w:type="dxa"/>
          <w:right w:w="28" w:type="dxa"/>
        </w:tblCellMar>
      </w:tblPr>
      <w:tblGrid/>
      <w:tr>
        <w:trPr>
          <w:wAfter w:w="0" w:type="dxa"/>
        </w:trPr>
        <w:tc>
          <w:tcPr>
            <w:tcW w:w="1174" w:type="dxa"/>
            <w:vMerge w:val="restart"/>
            <w:tcBorders>
              <w:left w:val="none" w:sz="0" w:space="0" w:shadow="0" w:frame="0"/>
            </w:tcBorders>
          </w:tcPr>
          <w:p>
            <w:pPr>
              <w:spacing w:lineRule="auto" w:line="252" w:before="120" w:after="120"/>
              <w:jc w:val="center"/>
              <w:rPr>
                <w:rFonts w:ascii="Arial" w:hAnsi="Arial"/>
                <w:sz w:val="15"/>
              </w:rPr>
            </w:pPr>
          </w:p>
        </w:tc>
        <w:tc>
          <w:tcPr>
            <w:tcW w:w="4022" w:type="dxa"/>
            <w:gridSpan w:val="6"/>
          </w:tcPr>
          <w:p>
            <w:pPr>
              <w:spacing w:lineRule="auto" w:line="252" w:before="60" w:after="60"/>
              <w:jc w:val="center"/>
              <w:rPr>
                <w:rFonts w:ascii="Arial" w:hAnsi="Arial"/>
                <w:sz w:val="16"/>
                <w:vertAlign w:val="superscript"/>
              </w:rPr>
            </w:pPr>
            <w:r>
              <w:rPr>
                <w:rFonts w:ascii="Arial" w:hAnsi="Arial"/>
                <w:sz w:val="16"/>
              </w:rPr>
              <w:t>I quarter 2012</w:t>
              <w:br w:type="textWrapping"/>
              <w:t>Republic of Serbia</w:t>
            </w:r>
          </w:p>
        </w:tc>
        <w:tc>
          <w:tcPr>
            <w:tcW w:w="4006" w:type="dxa"/>
            <w:gridSpan w:val="6"/>
          </w:tcPr>
          <w:p>
            <w:pPr>
              <w:spacing w:lineRule="auto" w:line="252" w:before="60" w:after="60"/>
              <w:jc w:val="center"/>
              <w:rPr>
                <w:rFonts w:ascii="CTimesRoman" w:hAnsi="CTimesRoman"/>
                <w:sz w:val="20"/>
              </w:rPr>
            </w:pPr>
            <w:r>
              <w:rPr>
                <w:rFonts w:ascii="Arial" w:hAnsi="Arial"/>
                <w:sz w:val="16"/>
              </w:rPr>
              <w:t>I quarter 2013</w:t>
              <w:br w:type="textWrapping"/>
              <w:t>Republic of Serbia</w:t>
            </w:r>
          </w:p>
        </w:tc>
        <w:tc>
          <w:tcPr>
            <w:tcW w:w="721" w:type="dxa"/>
            <w:vMerge w:val="restart"/>
            <w:tcBorders>
              <w:right w:val="none" w:sz="0" w:space="0" w:shadow="0" w:frame="0"/>
            </w:tcBorders>
            <w:vAlign w:val="center"/>
          </w:tcPr>
          <w:p>
            <w:pPr>
              <w:spacing w:lineRule="auto" w:line="252" w:before="60" w:after="60"/>
              <w:jc w:val="center"/>
              <w:rPr>
                <w:rFonts w:ascii="CTimesRoman" w:hAnsi="CTimesRoman"/>
                <w:sz w:val="20"/>
              </w:rPr>
            </w:pPr>
            <w:r>
              <w:rPr>
                <w:rFonts w:ascii="Arial" w:hAnsi="Arial"/>
                <w:sz w:val="16"/>
                <w:u w:val="single"/>
              </w:rPr>
              <w:t>I quarter 2013</w:t>
              <w:br w:type="textWrapping"/>
            </w:r>
            <w:r>
              <w:rPr>
                <w:rFonts w:ascii="Arial" w:hAnsi="Arial"/>
                <w:sz w:val="16"/>
              </w:rPr>
              <w:t>I quarter 2012</w:t>
            </w:r>
          </w:p>
        </w:tc>
      </w:tr>
      <w:tr>
        <w:trPr>
          <w:wAfter w:w="0" w:type="dxa"/>
        </w:trPr>
        <w:tc>
          <w:tcPr>
            <w:tcW w:w="1174" w:type="dxa"/>
            <w:vMerge w:val="continue"/>
            <w:tcBorders>
              <w:left w:val="none" w:sz="0" w:space="0" w:shadow="0" w:frame="0"/>
              <w:bottom w:val="single" w:sz="4" w:space="0" w:shadow="0" w:frame="0"/>
            </w:tcBorders>
          </w:tcPr>
          <w:p>
            <w:pPr>
              <w:spacing w:lineRule="auto" w:line="252"/>
              <w:jc w:val="center"/>
              <w:rPr>
                <w:rFonts w:ascii="Arial" w:hAnsi="Arial"/>
                <w:sz w:val="15"/>
              </w:rPr>
            </w:pPr>
          </w:p>
        </w:tc>
        <w:tc>
          <w:tcPr>
            <w:tcW w:w="614" w:type="dxa"/>
            <w:tcBorders>
              <w:bottom w:val="single" w:sz="4" w:space="0" w:shadow="0" w:frame="0"/>
            </w:tcBorders>
            <w:vAlign w:val="center"/>
          </w:tcPr>
          <w:p>
            <w:pPr>
              <w:spacing w:lineRule="auto" w:line="252"/>
              <w:jc w:val="center"/>
              <w:rPr>
                <w:rFonts w:ascii="Arial" w:hAnsi="Arial"/>
                <w:sz w:val="15"/>
              </w:rPr>
            </w:pPr>
            <w:r>
              <w:rPr>
                <w:rFonts w:ascii="Arial" w:hAnsi="Arial"/>
                <w:sz w:val="16"/>
              </w:rPr>
              <w:t>Total</w:t>
            </w:r>
          </w:p>
        </w:tc>
        <w:tc>
          <w:tcPr>
            <w:tcW w:w="657" w:type="dxa"/>
            <w:tcBorders>
              <w:bottom w:val="single" w:sz="4" w:space="0" w:shadow="0" w:frame="0"/>
            </w:tcBorders>
            <w:vAlign w:val="center"/>
          </w:tcPr>
          <w:p>
            <w:pPr>
              <w:spacing w:lineRule="auto" w:line="252"/>
              <w:jc w:val="center"/>
              <w:rPr>
                <w:rFonts w:ascii="Arial" w:hAnsi="Arial"/>
                <w:sz w:val="15"/>
              </w:rPr>
            </w:pPr>
            <w:r>
              <w:rPr>
                <w:rFonts w:ascii="Arial" w:hAnsi="Arial"/>
                <w:sz w:val="15"/>
              </w:rPr>
              <w:t>City of Belgrade</w:t>
            </w:r>
          </w:p>
        </w:tc>
        <w:tc>
          <w:tcPr>
            <w:tcW w:w="715" w:type="dxa"/>
            <w:tcBorders>
              <w:bottom w:val="single" w:sz="4" w:space="0" w:shadow="0" w:frame="0"/>
            </w:tcBorders>
            <w:vAlign w:val="center"/>
          </w:tcPr>
          <w:p>
            <w:pPr>
              <w:spacing w:lineRule="auto" w:line="252"/>
              <w:jc w:val="center"/>
              <w:rPr>
                <w:rFonts w:ascii="Arial" w:hAnsi="Arial"/>
                <w:sz w:val="15"/>
              </w:rPr>
            </w:pPr>
            <w:r>
              <w:rPr>
                <w:rFonts w:ascii="Arial" w:hAnsi="Arial"/>
                <w:sz w:val="15"/>
              </w:rPr>
              <w:t>Region of Vojvodina</w:t>
            </w:r>
          </w:p>
        </w:tc>
        <w:tc>
          <w:tcPr>
            <w:tcW w:w="735" w:type="dxa"/>
            <w:tcBorders>
              <w:bottom w:val="single" w:sz="4" w:space="0" w:shadow="0" w:frame="0"/>
            </w:tcBorders>
            <w:vAlign w:val="center"/>
          </w:tcPr>
          <w:p>
            <w:pPr>
              <w:spacing w:lineRule="auto" w:line="252"/>
              <w:jc w:val="center"/>
              <w:rPr>
                <w:rFonts w:ascii="Arial" w:hAnsi="Arial"/>
                <w:sz w:val="15"/>
              </w:rPr>
            </w:pPr>
            <w:r>
              <w:rPr>
                <w:rFonts w:ascii="Arial" w:hAnsi="Arial"/>
                <w:sz w:val="15"/>
              </w:rPr>
              <w:t>Region of Sumadija and West Serbia</w:t>
            </w:r>
          </w:p>
        </w:tc>
        <w:tc>
          <w:tcPr>
            <w:tcW w:w="622" w:type="dxa"/>
            <w:tcBorders>
              <w:bottom w:val="single" w:sz="4" w:space="0" w:shadow="0" w:frame="0"/>
            </w:tcBorders>
            <w:vAlign w:val="center"/>
          </w:tcPr>
          <w:p>
            <w:pPr>
              <w:spacing w:lineRule="auto" w:line="252"/>
              <w:jc w:val="center"/>
              <w:rPr>
                <w:rFonts w:ascii="Arial" w:hAnsi="Arial"/>
                <w:sz w:val="15"/>
              </w:rPr>
            </w:pPr>
            <w:r>
              <w:rPr>
                <w:rFonts w:ascii="Arial" w:hAnsi="Arial"/>
                <w:sz w:val="15"/>
              </w:rPr>
              <w:t>Region of South and East Serbia</w:t>
            </w:r>
          </w:p>
        </w:tc>
        <w:tc>
          <w:tcPr>
            <w:tcW w:w="679" w:type="dxa"/>
            <w:tcBorders>
              <w:bottom w:val="single" w:sz="4" w:space="0" w:shadow="0" w:frame="0"/>
            </w:tcBorders>
            <w:vAlign w:val="center"/>
          </w:tcPr>
          <w:p>
            <w:pPr>
              <w:spacing w:lineRule="auto" w:line="252"/>
              <w:jc w:val="center"/>
              <w:rPr>
                <w:rFonts w:ascii="Arial" w:hAnsi="Arial"/>
                <w:sz w:val="15"/>
              </w:rPr>
            </w:pPr>
            <w:r>
              <w:rPr>
                <w:rFonts w:ascii="Arial" w:hAnsi="Arial"/>
                <w:sz w:val="15"/>
              </w:rPr>
              <w:t>Region of Kosovo and Metohia</w:t>
            </w:r>
          </w:p>
        </w:tc>
        <w:tc>
          <w:tcPr>
            <w:tcW w:w="598" w:type="dxa"/>
            <w:tcBorders>
              <w:bottom w:val="single" w:sz="4" w:space="0" w:shadow="0" w:frame="0"/>
            </w:tcBorders>
            <w:vAlign w:val="center"/>
          </w:tcPr>
          <w:p>
            <w:pPr>
              <w:spacing w:lineRule="auto" w:line="252"/>
              <w:jc w:val="center"/>
              <w:rPr>
                <w:rFonts w:ascii="Arial" w:hAnsi="Arial"/>
                <w:sz w:val="15"/>
              </w:rPr>
            </w:pPr>
            <w:r>
              <w:rPr>
                <w:rFonts w:ascii="Arial" w:hAnsi="Arial"/>
                <w:sz w:val="16"/>
              </w:rPr>
              <w:t>Total</w:t>
            </w:r>
          </w:p>
        </w:tc>
        <w:tc>
          <w:tcPr>
            <w:tcW w:w="657" w:type="dxa"/>
            <w:tcBorders>
              <w:bottom w:val="single" w:sz="4" w:space="0" w:shadow="0" w:frame="0"/>
            </w:tcBorders>
            <w:vAlign w:val="center"/>
          </w:tcPr>
          <w:p>
            <w:pPr>
              <w:spacing w:lineRule="auto" w:line="252"/>
              <w:jc w:val="center"/>
              <w:rPr>
                <w:rFonts w:ascii="Arial" w:hAnsi="Arial"/>
                <w:sz w:val="15"/>
              </w:rPr>
            </w:pPr>
            <w:r>
              <w:rPr>
                <w:rFonts w:ascii="Arial" w:hAnsi="Arial"/>
                <w:sz w:val="15"/>
              </w:rPr>
              <w:t>City of Belgrade</w:t>
            </w:r>
          </w:p>
        </w:tc>
        <w:tc>
          <w:tcPr>
            <w:tcW w:w="715" w:type="dxa"/>
            <w:tcBorders>
              <w:bottom w:val="single" w:sz="4" w:space="0" w:shadow="0" w:frame="0"/>
            </w:tcBorders>
            <w:vAlign w:val="center"/>
          </w:tcPr>
          <w:p>
            <w:pPr>
              <w:spacing w:lineRule="auto" w:line="252"/>
              <w:jc w:val="center"/>
              <w:rPr>
                <w:rFonts w:ascii="Arial" w:hAnsi="Arial"/>
                <w:sz w:val="15"/>
              </w:rPr>
            </w:pPr>
            <w:r>
              <w:rPr>
                <w:rFonts w:ascii="Arial" w:hAnsi="Arial"/>
                <w:sz w:val="15"/>
              </w:rPr>
              <w:t>Region of Vojvodina</w:t>
            </w:r>
          </w:p>
        </w:tc>
        <w:tc>
          <w:tcPr>
            <w:tcW w:w="735" w:type="dxa"/>
            <w:tcBorders>
              <w:bottom w:val="single" w:sz="4" w:space="0" w:shadow="0" w:frame="0"/>
            </w:tcBorders>
            <w:vAlign w:val="center"/>
          </w:tcPr>
          <w:p>
            <w:pPr>
              <w:spacing w:lineRule="auto" w:line="252"/>
              <w:jc w:val="center"/>
              <w:rPr>
                <w:rFonts w:ascii="Arial" w:hAnsi="Arial"/>
                <w:sz w:val="15"/>
              </w:rPr>
            </w:pPr>
            <w:r>
              <w:rPr>
                <w:rFonts w:ascii="Arial" w:hAnsi="Arial"/>
                <w:sz w:val="15"/>
              </w:rPr>
              <w:t>Region of Sumadija and West Serbia</w:t>
            </w:r>
          </w:p>
        </w:tc>
        <w:tc>
          <w:tcPr>
            <w:tcW w:w="622" w:type="dxa"/>
            <w:tcBorders>
              <w:bottom w:val="single" w:sz="4" w:space="0" w:shadow="0" w:frame="0"/>
            </w:tcBorders>
            <w:vAlign w:val="center"/>
          </w:tcPr>
          <w:p>
            <w:pPr>
              <w:spacing w:lineRule="auto" w:line="252"/>
              <w:jc w:val="center"/>
              <w:rPr>
                <w:rFonts w:ascii="Arial" w:hAnsi="Arial"/>
                <w:sz w:val="15"/>
              </w:rPr>
            </w:pPr>
            <w:r>
              <w:rPr>
                <w:rFonts w:ascii="Arial" w:hAnsi="Arial"/>
                <w:sz w:val="15"/>
              </w:rPr>
              <w:t>Region of South and East Serbia</w:t>
            </w:r>
          </w:p>
        </w:tc>
        <w:tc>
          <w:tcPr>
            <w:tcW w:w="679" w:type="dxa"/>
            <w:tcBorders>
              <w:bottom w:val="single" w:sz="4" w:space="0" w:shadow="0" w:frame="0"/>
            </w:tcBorders>
            <w:vAlign w:val="center"/>
          </w:tcPr>
          <w:p>
            <w:pPr>
              <w:spacing w:lineRule="auto" w:line="252"/>
              <w:jc w:val="center"/>
              <w:rPr>
                <w:rFonts w:ascii="Arial" w:hAnsi="Arial"/>
                <w:sz w:val="15"/>
              </w:rPr>
            </w:pPr>
            <w:r>
              <w:rPr>
                <w:rFonts w:ascii="Arial" w:hAnsi="Arial"/>
                <w:sz w:val="15"/>
              </w:rPr>
              <w:t>Region of Kosovo and Metohia</w:t>
            </w:r>
          </w:p>
        </w:tc>
        <w:tc>
          <w:tcPr>
            <w:tcW w:w="721" w:type="dxa"/>
            <w:vMerge w:val="continue"/>
            <w:tcBorders>
              <w:bottom w:val="single" w:sz="4" w:space="0" w:shadow="0" w:frame="0"/>
              <w:right w:val="none" w:sz="0" w:space="0" w:shadow="0" w:frame="0"/>
            </w:tcBorders>
            <w:vAlign w:val="center"/>
          </w:tcPr>
          <w:p>
            <w:pPr>
              <w:spacing w:lineRule="auto" w:line="252"/>
              <w:jc w:val="center"/>
              <w:rPr>
                <w:rFonts w:ascii="Arial" w:hAnsi="Arial"/>
                <w:sz w:val="15"/>
              </w:rPr>
            </w:pPr>
          </w:p>
        </w:tc>
      </w:tr>
      <w:tr>
        <w:trPr>
          <w:wAfter w:w="0" w:type="dxa"/>
        </w:trPr>
        <w:tc>
          <w:tcPr>
            <w:tcW w:w="1174" w:type="dxa"/>
            <w:tcBorders>
              <w:top w:val="single" w:sz="4"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p>
        </w:tc>
        <w:tc>
          <w:tcPr>
            <w:tcW w:w="614"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65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715"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735"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622"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679"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52"/>
              <w:jc w:val="right"/>
              <w:rPr>
                <w:rFonts w:ascii="Arial" w:hAnsi="Arial"/>
                <w:sz w:val="16"/>
              </w:rPr>
            </w:pPr>
          </w:p>
        </w:tc>
        <w:tc>
          <w:tcPr>
            <w:tcW w:w="598"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657"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715"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735"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622"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p>
        </w:tc>
        <w:tc>
          <w:tcPr>
            <w:tcW w:w="679"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52"/>
              <w:jc w:val="right"/>
              <w:rPr>
                <w:rFonts w:ascii="Arial" w:hAnsi="Arial"/>
                <w:sz w:val="16"/>
              </w:rPr>
            </w:pPr>
          </w:p>
        </w:tc>
        <w:tc>
          <w:tcPr>
            <w:tcW w:w="721"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p>
        </w:tc>
      </w:tr>
      <w:tr>
        <w:trPr>
          <w:wAfter w:w="0" w:type="dxa"/>
        </w:trPr>
        <w:tc>
          <w:tcPr>
            <w:tcW w:w="1174"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r>
              <w:rPr>
                <w:rFonts w:ascii="Arial" w:hAnsi="Arial"/>
                <w:sz w:val="16"/>
              </w:rPr>
              <w:t>Mopeds</w:t>
            </w:r>
          </w:p>
        </w:tc>
        <w:tc>
          <w:tcPr>
            <w:tcW w:w="614"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1090</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279</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377</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221</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208</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113"/>
              <w:jc w:val="right"/>
              <w:rPr>
                <w:rFonts w:ascii="Arial" w:hAnsi="Arial"/>
                <w:sz w:val="16"/>
              </w:rPr>
            </w:pPr>
            <w:r>
              <w:rPr>
                <w:rFonts w:ascii="Arial" w:hAnsi="Arial"/>
                <w:sz w:val="16"/>
              </w:rPr>
              <w:t>5</w:t>
            </w:r>
          </w:p>
        </w:tc>
        <w:tc>
          <w:tcPr>
            <w:tcW w:w="598"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744</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174</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281</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142</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147</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jc w:val="right"/>
              <w:rPr>
                <w:rFonts w:ascii="Arial" w:hAnsi="Arial"/>
                <w:sz w:val="16"/>
              </w:rPr>
            </w:pPr>
            <w:r>
              <w:rPr>
                <w:rFonts w:ascii="Arial" w:hAnsi="Arial"/>
                <w:sz w:val="16"/>
              </w:rPr>
              <w:t>-</w:t>
            </w:r>
          </w:p>
        </w:tc>
        <w:tc>
          <w:tcPr>
            <w:tcW w:w="7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68.3</w:t>
            </w:r>
          </w:p>
        </w:tc>
      </w:tr>
      <w:tr>
        <w:trPr>
          <w:wAfter w:w="0" w:type="dxa"/>
        </w:trPr>
        <w:tc>
          <w:tcPr>
            <w:tcW w:w="1174"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r>
              <w:rPr>
                <w:rFonts w:ascii="Arial" w:hAnsi="Arial"/>
                <w:sz w:val="16"/>
              </w:rPr>
              <w:t>Motorcycles</w:t>
            </w:r>
          </w:p>
        </w:tc>
        <w:tc>
          <w:tcPr>
            <w:tcW w:w="614"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837</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189</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281</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206</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159</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113"/>
              <w:jc w:val="right"/>
              <w:rPr>
                <w:rFonts w:ascii="Arial" w:hAnsi="Arial"/>
                <w:sz w:val="16"/>
              </w:rPr>
            </w:pPr>
            <w:r>
              <w:rPr>
                <w:rFonts w:ascii="Arial" w:hAnsi="Arial"/>
                <w:sz w:val="16"/>
              </w:rPr>
              <w:t>2</w:t>
            </w:r>
          </w:p>
        </w:tc>
        <w:tc>
          <w:tcPr>
            <w:tcW w:w="598"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674</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147</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202</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185</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134</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jc w:val="right"/>
              <w:rPr>
                <w:rFonts w:ascii="Arial" w:hAnsi="Arial"/>
                <w:sz w:val="16"/>
              </w:rPr>
            </w:pPr>
            <w:r>
              <w:rPr>
                <w:rFonts w:ascii="Arial" w:hAnsi="Arial"/>
                <w:sz w:val="16"/>
              </w:rPr>
              <w:t>6</w:t>
            </w:r>
          </w:p>
        </w:tc>
        <w:tc>
          <w:tcPr>
            <w:tcW w:w="7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80.5</w:t>
            </w:r>
          </w:p>
        </w:tc>
      </w:tr>
      <w:tr>
        <w:trPr>
          <w:wAfter w:w="0" w:type="dxa"/>
        </w:trPr>
        <w:tc>
          <w:tcPr>
            <w:tcW w:w="1174"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r>
              <w:rPr>
                <w:rFonts w:ascii="Arial" w:hAnsi="Arial"/>
                <w:sz w:val="16"/>
              </w:rPr>
              <w:t>Passengers cars</w:t>
            </w:r>
          </w:p>
        </w:tc>
        <w:tc>
          <w:tcPr>
            <w:tcW w:w="614"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28018</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7627</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8000</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7092</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5051</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113"/>
              <w:jc w:val="right"/>
              <w:rPr>
                <w:rFonts w:ascii="Arial" w:hAnsi="Arial"/>
                <w:sz w:val="16"/>
              </w:rPr>
            </w:pPr>
            <w:r>
              <w:rPr>
                <w:rFonts w:ascii="Arial" w:hAnsi="Arial"/>
                <w:sz w:val="16"/>
              </w:rPr>
              <w:t>248</w:t>
            </w:r>
          </w:p>
        </w:tc>
        <w:tc>
          <w:tcPr>
            <w:tcW w:w="598"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30784</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8388</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8735</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8071</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5434</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jc w:val="right"/>
              <w:rPr>
                <w:rFonts w:ascii="Arial" w:hAnsi="Arial"/>
                <w:sz w:val="16"/>
              </w:rPr>
            </w:pPr>
            <w:r>
              <w:rPr>
                <w:rFonts w:ascii="Arial" w:hAnsi="Arial"/>
                <w:sz w:val="16"/>
              </w:rPr>
              <w:t>156</w:t>
            </w:r>
          </w:p>
        </w:tc>
        <w:tc>
          <w:tcPr>
            <w:tcW w:w="7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109.9</w:t>
            </w:r>
          </w:p>
        </w:tc>
      </w:tr>
      <w:tr>
        <w:trPr>
          <w:wAfter w:w="0" w:type="dxa"/>
        </w:trPr>
        <w:tc>
          <w:tcPr>
            <w:tcW w:w="1174"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r>
              <w:rPr>
                <w:rFonts w:ascii="Arial" w:hAnsi="Arial"/>
                <w:sz w:val="16"/>
              </w:rPr>
              <w:t>Buses</w:t>
            </w:r>
          </w:p>
        </w:tc>
        <w:tc>
          <w:tcPr>
            <w:tcW w:w="614"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104</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37</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31</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16</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20</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113"/>
              <w:jc w:val="right"/>
              <w:rPr>
                <w:rFonts w:ascii="Arial" w:hAnsi="Arial"/>
                <w:sz w:val="16"/>
              </w:rPr>
            </w:pPr>
            <w:r>
              <w:rPr>
                <w:rFonts w:ascii="Arial" w:hAnsi="Arial"/>
                <w:sz w:val="16"/>
              </w:rPr>
              <w:t>-</w:t>
            </w:r>
          </w:p>
        </w:tc>
        <w:tc>
          <w:tcPr>
            <w:tcW w:w="598"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95</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46</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23</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18</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7</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jc w:val="right"/>
              <w:rPr>
                <w:rFonts w:ascii="Arial" w:hAnsi="Arial"/>
                <w:sz w:val="16"/>
              </w:rPr>
            </w:pPr>
            <w:r>
              <w:rPr>
                <w:rFonts w:ascii="Arial" w:hAnsi="Arial"/>
                <w:sz w:val="16"/>
              </w:rPr>
              <w:t>1</w:t>
            </w:r>
          </w:p>
        </w:tc>
        <w:tc>
          <w:tcPr>
            <w:tcW w:w="7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91.3</w:t>
            </w:r>
          </w:p>
        </w:tc>
      </w:tr>
      <w:tr>
        <w:trPr>
          <w:wAfter w:w="0" w:type="dxa"/>
        </w:trPr>
        <w:tc>
          <w:tcPr>
            <w:tcW w:w="1174"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r>
              <w:rPr>
                <w:rFonts w:ascii="Arial" w:hAnsi="Arial"/>
                <w:sz w:val="16"/>
              </w:rPr>
              <w:t>Lorries (trucks)</w:t>
            </w:r>
          </w:p>
        </w:tc>
        <w:tc>
          <w:tcPr>
            <w:tcW w:w="614"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1743</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619</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461</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426</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237</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113"/>
              <w:jc w:val="right"/>
              <w:rPr>
                <w:rFonts w:ascii="Arial" w:hAnsi="Arial"/>
                <w:sz w:val="16"/>
              </w:rPr>
            </w:pPr>
            <w:r>
              <w:rPr>
                <w:rFonts w:ascii="Arial" w:hAnsi="Arial"/>
                <w:sz w:val="16"/>
              </w:rPr>
              <w:t>-</w:t>
            </w:r>
          </w:p>
        </w:tc>
        <w:tc>
          <w:tcPr>
            <w:tcW w:w="598"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2136</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668</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592</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608</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266</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jc w:val="right"/>
              <w:rPr>
                <w:rFonts w:ascii="Arial" w:hAnsi="Arial"/>
                <w:sz w:val="16"/>
              </w:rPr>
            </w:pPr>
            <w:r>
              <w:rPr>
                <w:rFonts w:ascii="Arial" w:hAnsi="Arial"/>
                <w:sz w:val="16"/>
              </w:rPr>
              <w:t>2</w:t>
            </w:r>
          </w:p>
        </w:tc>
        <w:tc>
          <w:tcPr>
            <w:tcW w:w="7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122.5</w:t>
            </w:r>
          </w:p>
        </w:tc>
      </w:tr>
      <w:tr>
        <w:trPr>
          <w:wAfter w:w="0" w:type="dxa"/>
        </w:trPr>
        <w:tc>
          <w:tcPr>
            <w:tcW w:w="1174"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r>
              <w:rPr>
                <w:rFonts w:ascii="Arial" w:hAnsi="Arial"/>
                <w:sz w:val="16"/>
              </w:rPr>
              <w:t>Road tractors</w:t>
            </w:r>
          </w:p>
        </w:tc>
        <w:tc>
          <w:tcPr>
            <w:tcW w:w="614"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608</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142</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174</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211</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80</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113"/>
              <w:jc w:val="right"/>
              <w:rPr>
                <w:rFonts w:ascii="Arial" w:hAnsi="Arial"/>
                <w:sz w:val="16"/>
              </w:rPr>
            </w:pPr>
            <w:r>
              <w:rPr>
                <w:rFonts w:ascii="Arial" w:hAnsi="Arial"/>
                <w:sz w:val="16"/>
              </w:rPr>
              <w:t>1</w:t>
            </w:r>
          </w:p>
        </w:tc>
        <w:tc>
          <w:tcPr>
            <w:tcW w:w="598"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641</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157</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205</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206</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73</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jc w:val="right"/>
              <w:rPr>
                <w:rFonts w:ascii="Arial" w:hAnsi="Arial"/>
                <w:sz w:val="16"/>
              </w:rPr>
            </w:pPr>
            <w:r>
              <w:rPr>
                <w:rFonts w:ascii="Arial" w:hAnsi="Arial"/>
                <w:sz w:val="16"/>
              </w:rPr>
              <w:t>-</w:t>
            </w:r>
          </w:p>
        </w:tc>
        <w:tc>
          <w:tcPr>
            <w:tcW w:w="7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105.4</w:t>
            </w:r>
          </w:p>
        </w:tc>
      </w:tr>
      <w:tr>
        <w:trPr>
          <w:wAfter w:w="0" w:type="dxa"/>
        </w:trPr>
        <w:tc>
          <w:tcPr>
            <w:tcW w:w="1174"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r>
              <w:rPr>
                <w:rFonts w:ascii="Arial" w:hAnsi="Arial"/>
                <w:sz w:val="16"/>
              </w:rPr>
              <w:t>Trailers and semi-trailers</w:t>
            </w:r>
          </w:p>
        </w:tc>
        <w:tc>
          <w:tcPr>
            <w:tcW w:w="614"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3749</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294</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1718</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1055</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677</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113"/>
              <w:jc w:val="right"/>
              <w:rPr>
                <w:rFonts w:ascii="Arial" w:hAnsi="Arial"/>
                <w:sz w:val="16"/>
              </w:rPr>
            </w:pPr>
            <w:r>
              <w:rPr>
                <w:rFonts w:ascii="Arial" w:hAnsi="Arial"/>
                <w:sz w:val="16"/>
              </w:rPr>
              <w:t>5</w:t>
            </w:r>
          </w:p>
        </w:tc>
        <w:tc>
          <w:tcPr>
            <w:tcW w:w="598"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2958</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283</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1012</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1065</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591</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jc w:val="right"/>
              <w:rPr>
                <w:rFonts w:ascii="Arial" w:hAnsi="Arial"/>
                <w:sz w:val="16"/>
              </w:rPr>
            </w:pPr>
            <w:r>
              <w:rPr>
                <w:rFonts w:ascii="Arial" w:hAnsi="Arial"/>
                <w:sz w:val="16"/>
              </w:rPr>
              <w:t>7</w:t>
            </w:r>
          </w:p>
        </w:tc>
        <w:tc>
          <w:tcPr>
            <w:tcW w:w="7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78.9</w:t>
            </w:r>
          </w:p>
        </w:tc>
      </w:tr>
      <w:tr>
        <w:trPr>
          <w:wAfter w:w="0" w:type="dxa"/>
        </w:trPr>
        <w:tc>
          <w:tcPr>
            <w:tcW w:w="1174"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r>
              <w:rPr>
                <w:rFonts w:ascii="Arial" w:hAnsi="Arial"/>
                <w:sz w:val="16"/>
              </w:rPr>
              <w:t>Special purpose motor vehicles</w:t>
            </w:r>
          </w:p>
        </w:tc>
        <w:tc>
          <w:tcPr>
            <w:tcW w:w="614"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332</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74</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162</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56</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32</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113"/>
              <w:jc w:val="right"/>
              <w:rPr>
                <w:rFonts w:ascii="Arial" w:hAnsi="Arial"/>
                <w:sz w:val="16"/>
              </w:rPr>
            </w:pPr>
            <w:r>
              <w:rPr>
                <w:rFonts w:ascii="Arial" w:hAnsi="Arial"/>
                <w:sz w:val="16"/>
              </w:rPr>
              <w:t>8</w:t>
            </w:r>
          </w:p>
        </w:tc>
        <w:tc>
          <w:tcPr>
            <w:tcW w:w="598"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465</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98</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226</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86</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55</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jc w:val="right"/>
              <w:rPr>
                <w:rFonts w:ascii="Arial" w:hAnsi="Arial"/>
                <w:sz w:val="16"/>
              </w:rPr>
            </w:pPr>
            <w:r>
              <w:rPr>
                <w:rFonts w:ascii="Arial" w:hAnsi="Arial"/>
                <w:sz w:val="16"/>
              </w:rPr>
              <w:t>-</w:t>
            </w:r>
          </w:p>
        </w:tc>
        <w:tc>
          <w:tcPr>
            <w:tcW w:w="7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140.1</w:t>
            </w:r>
          </w:p>
        </w:tc>
      </w:tr>
      <w:tr>
        <w:trPr>
          <w:wAfter w:w="0" w:type="dxa"/>
        </w:trPr>
        <w:tc>
          <w:tcPr>
            <w:tcW w:w="1174"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r>
              <w:rPr>
                <w:rFonts w:ascii="Arial" w:hAnsi="Arial"/>
                <w:sz w:val="16"/>
              </w:rPr>
              <w:t>Motocultivators</w:t>
            </w:r>
          </w:p>
        </w:tc>
        <w:tc>
          <w:tcPr>
            <w:tcW w:w="614"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20</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11</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5</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4</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113"/>
              <w:jc w:val="right"/>
              <w:rPr>
                <w:rFonts w:ascii="Arial" w:hAnsi="Arial"/>
                <w:sz w:val="16"/>
              </w:rPr>
            </w:pPr>
            <w:r>
              <w:rPr>
                <w:rFonts w:ascii="Arial" w:hAnsi="Arial"/>
                <w:sz w:val="16"/>
              </w:rPr>
              <w:t>-</w:t>
            </w:r>
          </w:p>
        </w:tc>
        <w:tc>
          <w:tcPr>
            <w:tcW w:w="598"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31</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6</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16</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8</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jc w:val="right"/>
              <w:rPr>
                <w:rFonts w:ascii="Arial" w:hAnsi="Arial"/>
                <w:sz w:val="16"/>
              </w:rPr>
            </w:pPr>
            <w:r>
              <w:rPr>
                <w:rFonts w:ascii="Arial" w:hAnsi="Arial"/>
                <w:sz w:val="16"/>
              </w:rPr>
              <w:t>1</w:t>
            </w:r>
          </w:p>
        </w:tc>
        <w:tc>
          <w:tcPr>
            <w:tcW w:w="7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155.0</w:t>
            </w:r>
          </w:p>
        </w:tc>
      </w:tr>
      <w:tr>
        <w:trPr>
          <w:wAfter w:w="0" w:type="dxa"/>
        </w:trPr>
        <w:tc>
          <w:tcPr>
            <w:tcW w:w="1174"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r>
              <w:rPr>
                <w:rFonts w:ascii="Arial" w:hAnsi="Arial"/>
                <w:sz w:val="16"/>
              </w:rPr>
              <w:t>Agricultural tractors</w:t>
            </w:r>
          </w:p>
        </w:tc>
        <w:tc>
          <w:tcPr>
            <w:tcW w:w="614"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1548</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96</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968</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273</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205</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113"/>
              <w:jc w:val="right"/>
              <w:rPr>
                <w:rFonts w:ascii="Arial" w:hAnsi="Arial"/>
                <w:sz w:val="16"/>
              </w:rPr>
            </w:pPr>
            <w:r>
              <w:rPr>
                <w:rFonts w:ascii="Arial" w:hAnsi="Arial"/>
                <w:sz w:val="16"/>
              </w:rPr>
              <w:t>6</w:t>
            </w:r>
          </w:p>
        </w:tc>
        <w:tc>
          <w:tcPr>
            <w:tcW w:w="598"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2531</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162</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1321</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539</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508</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jc w:val="right"/>
              <w:rPr>
                <w:rFonts w:ascii="Arial" w:hAnsi="Arial"/>
                <w:sz w:val="16"/>
              </w:rPr>
            </w:pPr>
            <w:r>
              <w:rPr>
                <w:rFonts w:ascii="Arial" w:hAnsi="Arial"/>
                <w:sz w:val="16"/>
              </w:rPr>
              <w:t>1</w:t>
            </w:r>
          </w:p>
        </w:tc>
        <w:tc>
          <w:tcPr>
            <w:tcW w:w="7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163.5</w:t>
            </w:r>
          </w:p>
        </w:tc>
      </w:tr>
      <w:tr>
        <w:trPr>
          <w:wAfter w:w="0" w:type="dxa"/>
        </w:trPr>
        <w:tc>
          <w:tcPr>
            <w:tcW w:w="1174" w:type="dxa"/>
            <w:tcBorders>
              <w:top w:val="none" w:sz="0" w:space="0" w:shadow="0" w:frame="0"/>
              <w:left w:val="none" w:sz="0" w:space="0" w:shadow="0" w:frame="0"/>
              <w:bottom w:val="none" w:sz="0" w:space="0" w:shadow="0" w:frame="0"/>
              <w:right w:val="single" w:sz="4" w:space="0" w:shadow="0" w:frame="0"/>
            </w:tcBorders>
            <w:vAlign w:val="center"/>
          </w:tcPr>
          <w:p>
            <w:pPr>
              <w:spacing w:lineRule="auto" w:line="252"/>
              <w:rPr>
                <w:rFonts w:ascii="Arial" w:hAnsi="Arial"/>
                <w:sz w:val="16"/>
              </w:rPr>
            </w:pPr>
            <w:r>
              <w:rPr>
                <w:rFonts w:ascii="Arial" w:hAnsi="Arial"/>
                <w:sz w:val="16"/>
              </w:rPr>
              <w:t>Agricultural trailers</w:t>
            </w:r>
          </w:p>
        </w:tc>
        <w:tc>
          <w:tcPr>
            <w:tcW w:w="614"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484</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10</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378</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51</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45</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113"/>
              <w:jc w:val="right"/>
              <w:rPr>
                <w:rFonts w:ascii="Arial" w:hAnsi="Arial"/>
                <w:sz w:val="16"/>
              </w:rPr>
            </w:pPr>
            <w:r>
              <w:rPr>
                <w:rFonts w:ascii="Arial" w:hAnsi="Arial"/>
                <w:sz w:val="16"/>
              </w:rPr>
              <w:t>-</w:t>
            </w:r>
          </w:p>
        </w:tc>
        <w:tc>
          <w:tcPr>
            <w:tcW w:w="598"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1033</w:t>
            </w:r>
          </w:p>
        </w:tc>
        <w:tc>
          <w:tcPr>
            <w:tcW w:w="657"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11</w:t>
            </w:r>
          </w:p>
        </w:tc>
        <w:tc>
          <w:tcPr>
            <w:tcW w:w="71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657</w:t>
            </w:r>
          </w:p>
        </w:tc>
        <w:tc>
          <w:tcPr>
            <w:tcW w:w="735"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230</w:t>
            </w:r>
          </w:p>
        </w:tc>
        <w:tc>
          <w:tcPr>
            <w:tcW w:w="62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132</w:t>
            </w:r>
          </w:p>
        </w:tc>
        <w:tc>
          <w:tcPr>
            <w:tcW w:w="679"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jc w:val="right"/>
              <w:rPr>
                <w:rFonts w:ascii="Arial" w:hAnsi="Arial"/>
                <w:sz w:val="16"/>
              </w:rPr>
            </w:pPr>
            <w:r>
              <w:rPr>
                <w:rFonts w:ascii="Arial" w:hAnsi="Arial"/>
                <w:sz w:val="16"/>
              </w:rPr>
              <w:t>3</w:t>
            </w:r>
          </w:p>
        </w:tc>
        <w:tc>
          <w:tcPr>
            <w:tcW w:w="72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sz w:val="16"/>
              </w:rPr>
            </w:pPr>
            <w:r>
              <w:rPr>
                <w:rFonts w:ascii="Arial" w:hAnsi="Arial"/>
                <w:sz w:val="16"/>
              </w:rPr>
              <w:t>213.4</w:t>
            </w:r>
          </w:p>
        </w:tc>
      </w:tr>
    </w:tbl>
    <w:p>
      <w:pPr>
        <w:spacing w:lineRule="auto" w:line="252"/>
        <w:rPr>
          <w:rFonts w:ascii="Arial" w:hAnsi="Arial"/>
        </w:rPr>
      </w:pPr>
    </w:p>
    <w:p>
      <w:pPr>
        <w:rPr>
          <w:rFonts w:ascii="Arial" w:hAnsi="Arial"/>
          <w:b w:val="1"/>
          <w:sz w:val="14"/>
          <w:u w:val="single"/>
        </w:rPr>
      </w:pPr>
      <w:r>
        <w:rPr>
          <w:rFonts w:ascii="Arial" w:hAnsi="Arial"/>
          <w:sz w:val="14"/>
        </w:rPr>
        <w:t>Source: Ministry of the Interior of the Republic of Serbia.</w:t>
      </w:r>
    </w:p>
    <w:p>
      <w:pPr>
        <w:spacing w:lineRule="auto" w:line="252"/>
        <w:rPr>
          <w:rFonts w:ascii="Arial" w:hAnsi="Arial"/>
          <w:sz w:val="44"/>
        </w:rPr>
      </w:pPr>
    </w:p>
    <w:p>
      <w:pPr>
        <w:spacing w:lineRule="auto" w:line="252" w:after="60"/>
        <w:rPr>
          <w:rFonts w:ascii="Arial" w:hAnsi="Arial"/>
          <w:b w:val="1"/>
          <w:sz w:val="20"/>
        </w:rPr>
      </w:pPr>
      <w:r>
        <w:rPr>
          <w:rFonts w:ascii="Arial" w:hAnsi="Arial"/>
          <w:b w:val="1"/>
          <w:sz w:val="20"/>
        </w:rPr>
        <w:t xml:space="preserve">2. Number of first time registered lorries by load capacity </w:t>
      </w:r>
    </w:p>
    <w:tbl>
      <w:tblPr>
        <w:tblStyle w:val="T3"/>
        <w:tblW w:w="9809" w:type="dxa"/>
        <w:tblInd w:w="57" w:type="dxa"/>
        <w:tblLayout w:type="fixed"/>
        <w:tblCellMar>
          <w:left w:w="28" w:type="dxa"/>
          <w:right w:w="28" w:type="dxa"/>
        </w:tblCellMar>
      </w:tblPr>
      <w:tblGrid/>
      <w:tr>
        <w:trPr>
          <w:wAfter w:w="0" w:type="dxa"/>
        </w:trPr>
        <w:tc>
          <w:tcPr>
            <w:tcW w:w="2325" w:type="dxa"/>
            <w:vMerge w:val="restart"/>
            <w:tcBorders>
              <w:left w:val="none" w:sz="0" w:space="0" w:shadow="0" w:frame="0"/>
              <w:bottom w:val="single" w:sz="4" w:space="0" w:shadow="0" w:frame="0"/>
            </w:tcBorders>
            <w:vAlign w:val="center"/>
          </w:tcPr>
          <w:p>
            <w:pPr>
              <w:spacing w:lineRule="auto" w:line="252" w:before="60"/>
              <w:jc w:val="center"/>
              <w:rPr>
                <w:rFonts w:ascii="Arial" w:hAnsi="Arial"/>
                <w:sz w:val="16"/>
              </w:rPr>
            </w:pPr>
            <w:r>
              <w:rPr>
                <w:rFonts w:ascii="Arial" w:hAnsi="Arial"/>
                <w:sz w:val="16"/>
              </w:rPr>
              <w:t xml:space="preserve">Load capacity  (kg)</w:t>
            </w:r>
          </w:p>
        </w:tc>
        <w:tc>
          <w:tcPr>
            <w:tcW w:w="3742" w:type="dxa"/>
            <w:gridSpan w:val="2"/>
            <w:vAlign w:val="center"/>
          </w:tcPr>
          <w:p>
            <w:pPr>
              <w:spacing w:before="120" w:after="120"/>
              <w:jc w:val="center"/>
              <w:rPr>
                <w:rFonts w:ascii="Arial" w:hAnsi="Arial"/>
                <w:sz w:val="16"/>
              </w:rPr>
            </w:pPr>
            <w:r>
              <w:rPr>
                <w:rFonts w:ascii="Arial" w:hAnsi="Arial"/>
                <w:sz w:val="16"/>
              </w:rPr>
              <w:t>I quarter 2012</w:t>
            </w:r>
          </w:p>
        </w:tc>
        <w:tc>
          <w:tcPr>
            <w:tcW w:w="3742" w:type="dxa"/>
            <w:gridSpan w:val="2"/>
            <w:tcBorders>
              <w:right w:val="none" w:sz="0" w:space="0" w:shadow="0" w:frame="0"/>
            </w:tcBorders>
            <w:vAlign w:val="center"/>
          </w:tcPr>
          <w:p>
            <w:pPr>
              <w:spacing w:before="120" w:after="120"/>
              <w:jc w:val="center"/>
              <w:rPr>
                <w:rFonts w:ascii="Arial" w:hAnsi="Arial"/>
                <w:sz w:val="16"/>
              </w:rPr>
            </w:pPr>
            <w:r>
              <w:rPr>
                <w:rFonts w:ascii="Arial" w:hAnsi="Arial"/>
                <w:sz w:val="16"/>
              </w:rPr>
              <w:t>I quarter 2013</w:t>
            </w:r>
          </w:p>
        </w:tc>
      </w:tr>
      <w:tr>
        <w:trPr>
          <w:wAfter w:w="0" w:type="dxa"/>
        </w:trPr>
        <w:tc>
          <w:tcPr>
            <w:tcW w:w="2325" w:type="dxa"/>
            <w:vMerge w:val="continue"/>
            <w:tcBorders>
              <w:left w:val="none" w:sz="0" w:space="0" w:shadow="0" w:frame="0"/>
              <w:bottom w:val="single" w:sz="4" w:space="0" w:shadow="0" w:frame="0"/>
            </w:tcBorders>
            <w:vAlign w:val="center"/>
          </w:tcPr>
          <w:p>
            <w:pPr>
              <w:spacing w:lineRule="auto" w:line="252" w:before="60"/>
              <w:rPr>
                <w:rFonts w:ascii="Arial" w:hAnsi="Arial"/>
                <w:sz w:val="16"/>
              </w:rPr>
            </w:pPr>
          </w:p>
        </w:tc>
        <w:tc>
          <w:tcPr>
            <w:tcW w:w="1871" w:type="dxa"/>
            <w:tcBorders>
              <w:bottom w:val="single" w:sz="4" w:space="0" w:shadow="0" w:frame="0"/>
            </w:tcBorders>
            <w:vAlign w:val="center"/>
          </w:tcPr>
          <w:p>
            <w:pPr>
              <w:spacing w:before="96"/>
              <w:jc w:val="center"/>
              <w:rPr>
                <w:rFonts w:ascii="Arial" w:hAnsi="Arial"/>
                <w:sz w:val="16"/>
              </w:rPr>
            </w:pPr>
            <w:r>
              <w:rPr>
                <w:rFonts w:ascii="Arial" w:hAnsi="Arial"/>
                <w:sz w:val="16"/>
              </w:rPr>
              <w:t>Total</w:t>
            </w:r>
          </w:p>
        </w:tc>
        <w:tc>
          <w:tcPr>
            <w:tcW w:w="1871" w:type="dxa"/>
            <w:tcBorders>
              <w:bottom w:val="single" w:sz="4" w:space="0" w:shadow="0" w:frame="0"/>
            </w:tcBorders>
            <w:vAlign w:val="center"/>
          </w:tcPr>
          <w:p>
            <w:pPr>
              <w:spacing w:before="60"/>
              <w:jc w:val="center"/>
              <w:rPr>
                <w:rFonts w:ascii="Arial" w:hAnsi="Arial"/>
                <w:sz w:val="16"/>
              </w:rPr>
            </w:pPr>
            <w:r>
              <w:rPr>
                <w:rFonts w:ascii="Arial" w:hAnsi="Arial"/>
                <w:sz w:val="16"/>
              </w:rPr>
              <w:t>up to 2 years</w:t>
            </w:r>
          </w:p>
        </w:tc>
        <w:tc>
          <w:tcPr>
            <w:tcW w:w="1871" w:type="dxa"/>
            <w:tcBorders>
              <w:bottom w:val="single" w:sz="4" w:space="0" w:shadow="0" w:frame="0"/>
            </w:tcBorders>
            <w:vAlign w:val="center"/>
          </w:tcPr>
          <w:p>
            <w:pPr>
              <w:spacing w:before="96"/>
              <w:jc w:val="center"/>
              <w:rPr>
                <w:rFonts w:ascii="Arial" w:hAnsi="Arial"/>
                <w:sz w:val="16"/>
              </w:rPr>
            </w:pPr>
            <w:r>
              <w:rPr>
                <w:rFonts w:ascii="Arial" w:hAnsi="Arial"/>
                <w:sz w:val="16"/>
              </w:rPr>
              <w:t>Total</w:t>
            </w:r>
          </w:p>
        </w:tc>
        <w:tc>
          <w:tcPr>
            <w:tcW w:w="1871" w:type="dxa"/>
            <w:tcBorders>
              <w:bottom w:val="single" w:sz="4" w:space="0" w:shadow="0" w:frame="0"/>
              <w:right w:val="none" w:sz="0" w:space="0" w:shadow="0" w:frame="0"/>
            </w:tcBorders>
            <w:vAlign w:val="center"/>
          </w:tcPr>
          <w:p>
            <w:pPr>
              <w:spacing w:before="60"/>
              <w:jc w:val="center"/>
              <w:rPr>
                <w:rFonts w:ascii="Arial" w:hAnsi="Arial"/>
                <w:sz w:val="16"/>
              </w:rPr>
            </w:pPr>
            <w:r>
              <w:rPr>
                <w:rFonts w:ascii="Arial" w:hAnsi="Arial"/>
                <w:sz w:val="16"/>
              </w:rPr>
              <w:t>up to 2 years</w:t>
            </w:r>
          </w:p>
        </w:tc>
      </w:tr>
      <w:tr>
        <w:trPr>
          <w:wAfter w:w="0" w:type="dxa"/>
        </w:trPr>
        <w:tc>
          <w:tcPr>
            <w:tcW w:w="2325" w:type="dxa"/>
            <w:tcBorders>
              <w:top w:val="single" w:sz="4" w:space="0" w:shadow="0" w:frame="0"/>
              <w:left w:val="none" w:sz="0" w:space="0" w:shadow="0" w:frame="0"/>
              <w:bottom w:val="none" w:sz="0" w:space="0" w:shadow="0" w:frame="0"/>
              <w:right w:val="single" w:sz="4" w:space="0" w:shadow="0" w:frame="0"/>
            </w:tcBorders>
            <w:vAlign w:val="center"/>
          </w:tcPr>
          <w:p>
            <w:pPr>
              <w:spacing w:before="96"/>
              <w:rPr>
                <w:rFonts w:ascii="Arial" w:hAnsi="Arial"/>
                <w:sz w:val="16"/>
              </w:rPr>
            </w:pPr>
          </w:p>
        </w:tc>
        <w:tc>
          <w:tcPr>
            <w:tcW w:w="1871" w:type="dxa"/>
            <w:tcBorders>
              <w:top w:val="single" w:sz="4" w:space="0" w:shadow="0" w:frame="0"/>
              <w:left w:val="single" w:sz="4" w:space="0" w:shadow="0" w:frame="0"/>
              <w:bottom w:val="none" w:sz="0" w:space="0" w:shadow="0" w:frame="0"/>
              <w:right w:val="none" w:sz="0" w:space="0" w:shadow="0" w:frame="0"/>
            </w:tcBorders>
          </w:tcPr>
          <w:p>
            <w:pPr>
              <w:spacing w:lineRule="auto" w:line="252"/>
              <w:jc w:val="right"/>
              <w:rPr>
                <w:rFonts w:ascii="Arial" w:hAnsi="Arial"/>
                <w:sz w:val="16"/>
              </w:rPr>
            </w:pPr>
          </w:p>
        </w:tc>
        <w:tc>
          <w:tcPr>
            <w:tcW w:w="1871" w:type="dxa"/>
            <w:tcBorders>
              <w:top w:val="single" w:sz="4" w:space="0" w:shadow="0" w:frame="0"/>
              <w:left w:val="none" w:sz="0" w:space="0" w:shadow="0" w:frame="0"/>
              <w:bottom w:val="none" w:sz="0" w:space="0" w:shadow="0" w:frame="0"/>
              <w:right w:val="single" w:sz="4" w:space="0" w:shadow="0" w:frame="0"/>
            </w:tcBorders>
          </w:tcPr>
          <w:p>
            <w:pPr>
              <w:spacing w:lineRule="auto" w:line="252"/>
              <w:jc w:val="right"/>
              <w:rPr>
                <w:rFonts w:ascii="Arial" w:hAnsi="Arial"/>
                <w:sz w:val="16"/>
              </w:rPr>
            </w:pPr>
          </w:p>
        </w:tc>
        <w:tc>
          <w:tcPr>
            <w:tcW w:w="1871" w:type="dxa"/>
            <w:tcBorders>
              <w:top w:val="single" w:sz="4" w:space="0" w:shadow="0" w:frame="0"/>
              <w:left w:val="single" w:sz="4" w:space="0" w:shadow="0" w:frame="0"/>
              <w:bottom w:val="none" w:sz="0" w:space="0" w:shadow="0" w:frame="0"/>
              <w:right w:val="none" w:sz="0" w:space="0" w:shadow="0" w:frame="0"/>
            </w:tcBorders>
          </w:tcPr>
          <w:p>
            <w:pPr>
              <w:spacing w:lineRule="auto" w:line="252"/>
              <w:jc w:val="right"/>
              <w:rPr>
                <w:rFonts w:ascii="Arial" w:hAnsi="Arial"/>
                <w:sz w:val="16"/>
              </w:rPr>
            </w:pPr>
          </w:p>
        </w:tc>
        <w:tc>
          <w:tcPr>
            <w:tcW w:w="1871" w:type="dxa"/>
            <w:tcBorders>
              <w:top w:val="single" w:sz="4" w:space="0" w:shadow="0" w:frame="0"/>
              <w:left w:val="none" w:sz="0" w:space="0" w:shadow="0" w:frame="0"/>
              <w:bottom w:val="none" w:sz="0" w:space="0" w:shadow="0" w:frame="0"/>
              <w:right w:val="none" w:sz="0" w:space="0" w:shadow="0" w:frame="0"/>
            </w:tcBorders>
          </w:tcPr>
          <w:p>
            <w:pPr>
              <w:spacing w:lineRule="auto" w:line="252"/>
              <w:jc w:val="right"/>
              <w:rPr>
                <w:rFonts w:ascii="Arial" w:hAnsi="Arial"/>
                <w:sz w:val="16"/>
              </w:rPr>
            </w:pP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Total</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b w:val="1"/>
                <w:sz w:val="16"/>
              </w:rPr>
            </w:pPr>
            <w:r>
              <w:rPr>
                <w:rFonts w:ascii="Arial" w:hAnsi="Arial"/>
                <w:b w:val="1"/>
                <w:sz w:val="16"/>
              </w:rPr>
              <w:t>1743</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b w:val="1"/>
                <w:sz w:val="16"/>
              </w:rPr>
            </w:pPr>
            <w:r>
              <w:rPr>
                <w:rFonts w:ascii="Arial" w:hAnsi="Arial"/>
                <w:b w:val="1"/>
                <w:sz w:val="16"/>
              </w:rPr>
              <w:t>605</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b w:val="1"/>
                <w:sz w:val="16"/>
              </w:rPr>
            </w:pPr>
            <w:r>
              <w:rPr>
                <w:rFonts w:ascii="Arial" w:hAnsi="Arial"/>
                <w:b w:val="1"/>
                <w:sz w:val="16"/>
              </w:rPr>
              <w:t>2136</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b w:val="1"/>
                <w:sz w:val="16"/>
              </w:rPr>
            </w:pPr>
            <w:r>
              <w:rPr>
                <w:rFonts w:ascii="Arial" w:hAnsi="Arial"/>
                <w:b w:val="1"/>
                <w:sz w:val="16"/>
              </w:rPr>
              <w:t>436</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Up to 999</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47</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14</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1000 - 1499 </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164</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68</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186</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25</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1500 - 2999  </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702</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297</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950</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259</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3000 - 4999   </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537</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161</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652</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103</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5000 - 6999  </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80</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29</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62</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21</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7000 - 9999     </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111</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29</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142</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12</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10000 - 14999    </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43</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10</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56</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7</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15000 and over </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59</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11</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74</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9</w:t>
            </w:r>
          </w:p>
        </w:tc>
      </w:tr>
    </w:tbl>
    <w:p>
      <w:pPr>
        <w:spacing w:lineRule="auto" w:line="252"/>
        <w:rPr>
          <w:rFonts w:ascii="Arial" w:hAnsi="Arial"/>
        </w:rPr>
      </w:pPr>
    </w:p>
    <w:p>
      <w:pPr>
        <w:spacing w:lineRule="auto" w:line="252"/>
        <w:rPr>
          <w:rFonts w:ascii="Arial" w:hAnsi="Arial"/>
          <w:b w:val="1"/>
          <w:sz w:val="14"/>
          <w:u w:val="single"/>
        </w:rPr>
      </w:pPr>
      <w:r>
        <w:rPr>
          <w:rFonts w:ascii="Arial" w:hAnsi="Arial"/>
          <w:sz w:val="14"/>
        </w:rPr>
        <w:t>Source: Ministry of the Interior of the Republic of Serbia.</w:t>
      </w:r>
    </w:p>
    <w:p>
      <w:pPr>
        <w:spacing w:lineRule="auto" w:line="252" w:after="60"/>
        <w:ind w:left="357"/>
        <w:rPr>
          <w:rFonts w:ascii="Arial" w:hAnsi="Arial"/>
          <w:b w:val="1"/>
          <w:sz w:val="44"/>
        </w:rPr>
      </w:pPr>
    </w:p>
    <w:p>
      <w:pPr>
        <w:spacing w:lineRule="auto" w:line="252" w:after="60"/>
        <w:rPr>
          <w:rFonts w:ascii="Arial" w:hAnsi="Arial"/>
          <w:b w:val="1"/>
          <w:sz w:val="20"/>
        </w:rPr>
      </w:pPr>
      <w:r>
        <w:rPr>
          <w:rFonts w:ascii="Arial" w:hAnsi="Arial"/>
          <w:b w:val="1"/>
          <w:sz w:val="20"/>
        </w:rPr>
        <w:t xml:space="preserve">3. Number of first time registered lorries by type of motor energy </w:t>
      </w:r>
    </w:p>
    <w:p>
      <w:pPr>
        <w:spacing w:lineRule="auto" w:line="252"/>
        <w:rPr>
          <w:rFonts w:ascii="Arial" w:hAnsi="Arial"/>
        </w:rPr>
      </w:pPr>
    </w:p>
    <w:tbl>
      <w:tblPr>
        <w:tblStyle w:val="T3"/>
        <w:tblW w:w="9809" w:type="dxa"/>
        <w:jc w:val="center"/>
        <w:tblLayout w:type="autofit"/>
        <w:tblCellMar>
          <w:left w:w="28" w:type="dxa"/>
          <w:right w:w="28" w:type="dxa"/>
        </w:tblCellMar>
      </w:tblPr>
      <w:tblGrid/>
      <w:tr>
        <w:trPr>
          <w:wAfter w:w="0" w:type="dxa"/>
        </w:trPr>
        <w:tc>
          <w:tcPr>
            <w:tcW w:w="2325" w:type="dxa"/>
            <w:vMerge w:val="restart"/>
            <w:tcBorders>
              <w:top w:val="single" w:sz="4" w:space="0" w:shadow="0" w:frame="0"/>
              <w:left w:val="none" w:sz="0" w:space="0" w:shadow="0" w:frame="0"/>
              <w:bottom w:val="single" w:sz="4" w:space="0" w:shadow="0" w:frame="0"/>
              <w:right w:val="single" w:sz="4" w:space="0" w:shadow="0" w:frame="0"/>
            </w:tcBorders>
            <w:vAlign w:val="center"/>
          </w:tcPr>
          <w:p>
            <w:pPr>
              <w:spacing w:lineRule="auto" w:line="252" w:before="60"/>
              <w:jc w:val="center"/>
              <w:rPr>
                <w:rFonts w:ascii="Arial" w:hAnsi="Arial"/>
                <w:sz w:val="16"/>
              </w:rPr>
            </w:pPr>
            <w:r>
              <w:rPr>
                <w:rFonts w:ascii="Arial" w:hAnsi="Arial"/>
                <w:sz w:val="16"/>
              </w:rPr>
              <w:t>Type of motor energy</w:t>
            </w:r>
          </w:p>
        </w:tc>
        <w:tc>
          <w:tcPr>
            <w:tcW w:w="3742" w:type="dxa"/>
            <w:gridSpan w:val="2"/>
            <w:tcBorders>
              <w:left w:val="single" w:sz="4" w:space="0" w:shadow="0" w:frame="0"/>
            </w:tcBorders>
            <w:vAlign w:val="center"/>
          </w:tcPr>
          <w:p>
            <w:pPr>
              <w:spacing w:before="120" w:after="120"/>
              <w:jc w:val="center"/>
              <w:rPr>
                <w:rFonts w:ascii="Arial" w:hAnsi="Arial"/>
                <w:sz w:val="16"/>
              </w:rPr>
            </w:pPr>
            <w:r>
              <w:rPr>
                <w:rFonts w:ascii="Arial" w:hAnsi="Arial"/>
                <w:sz w:val="16"/>
              </w:rPr>
              <w:t>I quarter 2012</w:t>
            </w:r>
          </w:p>
        </w:tc>
        <w:tc>
          <w:tcPr>
            <w:tcW w:w="3742" w:type="dxa"/>
            <w:gridSpan w:val="2"/>
            <w:tcBorders>
              <w:right w:val="none" w:sz="0" w:space="0" w:shadow="0" w:frame="0"/>
            </w:tcBorders>
            <w:vAlign w:val="center"/>
          </w:tcPr>
          <w:p>
            <w:pPr>
              <w:spacing w:before="120" w:after="120"/>
              <w:jc w:val="center"/>
              <w:rPr>
                <w:rFonts w:ascii="Arial" w:hAnsi="Arial"/>
                <w:sz w:val="16"/>
              </w:rPr>
            </w:pPr>
            <w:r>
              <w:rPr>
                <w:rFonts w:ascii="Arial" w:hAnsi="Arial"/>
                <w:sz w:val="16"/>
              </w:rPr>
              <w:t>I quarter 2013</w:t>
            </w:r>
          </w:p>
        </w:tc>
      </w:tr>
      <w:tr>
        <w:trPr>
          <w:wAfter w:w="0" w:type="dxa"/>
        </w:trPr>
        <w:tc>
          <w:tcPr>
            <w:tcW w:w="2325" w:type="dxa"/>
            <w:vMerge w:val="continue"/>
            <w:tcBorders>
              <w:top w:val="none" w:sz="0" w:space="0" w:shadow="0" w:frame="0"/>
              <w:left w:val="none" w:sz="0" w:space="0" w:shadow="0" w:frame="0"/>
              <w:bottom w:val="single" w:sz="4" w:space="0" w:shadow="0" w:frame="0"/>
              <w:right w:val="single" w:sz="4" w:space="0" w:shadow="0" w:frame="0"/>
            </w:tcBorders>
            <w:vAlign w:val="center"/>
          </w:tcPr>
          <w:p>
            <w:pPr>
              <w:spacing w:lineRule="auto" w:line="252" w:before="60"/>
              <w:jc w:val="center"/>
              <w:rPr>
                <w:rFonts w:ascii="Arial" w:hAnsi="Arial"/>
                <w:sz w:val="16"/>
              </w:rPr>
            </w:pPr>
          </w:p>
        </w:tc>
        <w:tc>
          <w:tcPr>
            <w:tcW w:w="1871" w:type="dxa"/>
            <w:tcBorders>
              <w:left w:val="single" w:sz="4" w:space="0" w:shadow="0" w:frame="0"/>
              <w:bottom w:val="single" w:sz="4" w:space="0" w:shadow="0" w:frame="0"/>
            </w:tcBorders>
            <w:vAlign w:val="center"/>
          </w:tcPr>
          <w:p>
            <w:pPr>
              <w:jc w:val="center"/>
              <w:rPr>
                <w:rFonts w:ascii="Arial" w:hAnsi="Arial"/>
                <w:sz w:val="16"/>
              </w:rPr>
            </w:pPr>
            <w:r>
              <w:rPr>
                <w:rFonts w:ascii="Arial" w:hAnsi="Arial"/>
                <w:sz w:val="16"/>
              </w:rPr>
              <w:t>Total</w:t>
            </w:r>
          </w:p>
        </w:tc>
        <w:tc>
          <w:tcPr>
            <w:tcW w:w="1871" w:type="dxa"/>
            <w:tcBorders>
              <w:bottom w:val="single" w:sz="4" w:space="0" w:shadow="0" w:frame="0"/>
            </w:tcBorders>
            <w:vAlign w:val="center"/>
          </w:tcPr>
          <w:p>
            <w:pPr>
              <w:jc w:val="center"/>
              <w:rPr>
                <w:rFonts w:ascii="Arial" w:hAnsi="Arial"/>
                <w:sz w:val="16"/>
              </w:rPr>
            </w:pPr>
            <w:r>
              <w:rPr>
                <w:rFonts w:ascii="Arial" w:hAnsi="Arial"/>
                <w:sz w:val="16"/>
              </w:rPr>
              <w:t>up to 2 years</w:t>
            </w:r>
          </w:p>
        </w:tc>
        <w:tc>
          <w:tcPr>
            <w:tcW w:w="1871" w:type="dxa"/>
            <w:tcBorders>
              <w:bottom w:val="single" w:sz="4" w:space="0" w:shadow="0" w:frame="0"/>
            </w:tcBorders>
            <w:vAlign w:val="center"/>
          </w:tcPr>
          <w:p>
            <w:pPr>
              <w:jc w:val="center"/>
              <w:rPr>
                <w:rFonts w:ascii="Arial" w:hAnsi="Arial"/>
                <w:sz w:val="16"/>
              </w:rPr>
            </w:pPr>
            <w:r>
              <w:rPr>
                <w:rFonts w:ascii="Arial" w:hAnsi="Arial"/>
                <w:sz w:val="16"/>
              </w:rPr>
              <w:t>Total</w:t>
            </w:r>
          </w:p>
        </w:tc>
        <w:tc>
          <w:tcPr>
            <w:tcW w:w="1871" w:type="dxa"/>
            <w:tcBorders>
              <w:bottom w:val="single" w:sz="4" w:space="0" w:shadow="0" w:frame="0"/>
              <w:right w:val="none" w:sz="0" w:space="0" w:shadow="0" w:frame="0"/>
            </w:tcBorders>
            <w:vAlign w:val="center"/>
          </w:tcPr>
          <w:p>
            <w:pPr>
              <w:jc w:val="center"/>
              <w:rPr>
                <w:rFonts w:ascii="Arial" w:hAnsi="Arial"/>
                <w:sz w:val="16"/>
              </w:rPr>
            </w:pPr>
            <w:r>
              <w:rPr>
                <w:rFonts w:ascii="Arial" w:hAnsi="Arial"/>
                <w:sz w:val="16"/>
              </w:rPr>
              <w:t>up to 2 years</w:t>
            </w:r>
          </w:p>
        </w:tc>
      </w:tr>
      <w:tr>
        <w:trPr>
          <w:wAfter w:w="0" w:type="dxa"/>
        </w:trPr>
        <w:tc>
          <w:tcPr>
            <w:tcW w:w="2325"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b w:val="1"/>
                <w:sz w:val="16"/>
              </w:rPr>
            </w:pPr>
          </w:p>
        </w:tc>
        <w:tc>
          <w:tcPr>
            <w:tcW w:w="1871" w:type="dxa"/>
            <w:tcBorders>
              <w:top w:val="single" w:sz="4" w:space="0" w:shadow="0" w:frame="0"/>
              <w:left w:val="single" w:sz="4" w:space="0" w:shadow="0" w:frame="0"/>
              <w:bottom w:val="none" w:sz="0" w:space="0" w:shadow="0" w:frame="0"/>
              <w:right w:val="none" w:sz="0" w:space="0" w:shadow="0" w:frame="0"/>
            </w:tcBorders>
          </w:tcPr>
          <w:p>
            <w:pPr>
              <w:spacing w:lineRule="auto" w:line="252"/>
              <w:jc w:val="right"/>
              <w:rPr>
                <w:rFonts w:ascii="Arial" w:hAnsi="Arial"/>
                <w:b w:val="1"/>
                <w:sz w:val="16"/>
              </w:rPr>
            </w:pPr>
          </w:p>
        </w:tc>
        <w:tc>
          <w:tcPr>
            <w:tcW w:w="1871" w:type="dxa"/>
            <w:tcBorders>
              <w:top w:val="single" w:sz="4" w:space="0" w:shadow="0" w:frame="0"/>
              <w:left w:val="none" w:sz="0" w:space="0" w:shadow="0" w:frame="0"/>
              <w:bottom w:val="none" w:sz="0" w:space="0" w:shadow="0" w:frame="0"/>
              <w:right w:val="single" w:sz="4" w:space="0" w:shadow="0" w:frame="0"/>
            </w:tcBorders>
          </w:tcPr>
          <w:p>
            <w:pPr>
              <w:spacing w:lineRule="auto" w:line="252"/>
              <w:jc w:val="right"/>
              <w:rPr>
                <w:rFonts w:ascii="Arial" w:hAnsi="Arial"/>
                <w:b w:val="1"/>
                <w:sz w:val="16"/>
              </w:rPr>
            </w:pPr>
          </w:p>
        </w:tc>
        <w:tc>
          <w:tcPr>
            <w:tcW w:w="1871" w:type="dxa"/>
            <w:tcBorders>
              <w:top w:val="single" w:sz="4" w:space="0" w:shadow="0" w:frame="0"/>
              <w:left w:val="single" w:sz="4" w:space="0" w:shadow="0" w:frame="0"/>
              <w:bottom w:val="none" w:sz="0" w:space="0" w:shadow="0" w:frame="0"/>
              <w:right w:val="none" w:sz="0" w:space="0" w:shadow="0" w:frame="0"/>
            </w:tcBorders>
          </w:tcPr>
          <w:p>
            <w:pPr>
              <w:spacing w:lineRule="auto" w:line="252"/>
              <w:jc w:val="right"/>
              <w:rPr>
                <w:rFonts w:ascii="Arial" w:hAnsi="Arial"/>
                <w:b w:val="1"/>
                <w:sz w:val="16"/>
              </w:rPr>
            </w:pPr>
          </w:p>
        </w:tc>
        <w:tc>
          <w:tcPr>
            <w:tcW w:w="1871" w:type="dxa"/>
            <w:tcBorders>
              <w:top w:val="single" w:sz="4" w:space="0" w:shadow="0" w:frame="0"/>
              <w:left w:val="none" w:sz="0" w:space="0" w:shadow="0" w:frame="0"/>
              <w:bottom w:val="none" w:sz="0" w:space="0" w:shadow="0" w:frame="0"/>
              <w:right w:val="none" w:sz="0" w:space="0" w:shadow="0" w:frame="0"/>
            </w:tcBorders>
          </w:tcPr>
          <w:p>
            <w:pPr>
              <w:spacing w:lineRule="auto" w:line="252"/>
              <w:jc w:val="right"/>
              <w:rPr>
                <w:rFonts w:ascii="Arial" w:hAnsi="Arial"/>
                <w:b w:val="1"/>
                <w:sz w:val="16"/>
              </w:rPr>
            </w:pP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b w:val="1"/>
                <w:sz w:val="16"/>
              </w:rPr>
            </w:pPr>
            <w:r>
              <w:rPr>
                <w:rFonts w:ascii="Arial" w:hAnsi="Arial"/>
                <w:b w:val="1"/>
                <w:sz w:val="16"/>
              </w:rPr>
              <w:t>Total</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b w:val="1"/>
                <w:sz w:val="16"/>
              </w:rPr>
            </w:pPr>
            <w:r>
              <w:rPr>
                <w:rFonts w:ascii="Arial" w:hAnsi="Arial"/>
                <w:b w:val="1"/>
                <w:sz w:val="16"/>
              </w:rPr>
              <w:t>1743</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b w:val="1"/>
                <w:sz w:val="16"/>
              </w:rPr>
            </w:pPr>
            <w:r>
              <w:rPr>
                <w:rFonts w:ascii="Arial" w:hAnsi="Arial"/>
                <w:b w:val="1"/>
                <w:sz w:val="16"/>
              </w:rPr>
              <w:t>605</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b w:val="1"/>
                <w:sz w:val="16"/>
              </w:rPr>
            </w:pPr>
            <w:r>
              <w:rPr>
                <w:rFonts w:ascii="Arial" w:hAnsi="Arial"/>
                <w:b w:val="1"/>
                <w:sz w:val="16"/>
              </w:rPr>
              <w:t>2136</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b w:val="1"/>
                <w:sz w:val="16"/>
              </w:rPr>
            </w:pPr>
            <w:r>
              <w:rPr>
                <w:rFonts w:ascii="Arial" w:hAnsi="Arial"/>
                <w:b w:val="1"/>
                <w:sz w:val="16"/>
              </w:rPr>
              <w:t>436</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Petrol</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128</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22</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172</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38</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Euro-diesel</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1285</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493</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1705</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352</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Diesel</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227</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1</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161</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Petrol-LPG</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103</w:t>
            </w:r>
          </w:p>
        </w:tc>
        <w:tc>
          <w:tcPr>
            <w:tcW w:w="1871" w:type="dxa"/>
            <w:tcBorders>
              <w:top w:val="none" w:sz="0" w:space="0" w:shadow="0" w:frame="0"/>
              <w:left w:val="none" w:sz="0" w:space="0" w:shadow="0" w:frame="0"/>
              <w:bottom w:val="none" w:sz="0" w:space="0" w:shadow="0" w:frame="0"/>
              <w:right w:val="single" w:sz="4" w:space="0" w:shadow="0" w:frame="0"/>
            </w:tcBorders>
          </w:tcPr>
          <w:p>
            <w:pPr>
              <w:spacing w:lineRule="auto" w:line="252"/>
              <w:ind w:right="284"/>
              <w:jc w:val="right"/>
              <w:rPr>
                <w:rFonts w:ascii="Arial" w:hAnsi="Arial"/>
                <w:sz w:val="16"/>
              </w:rPr>
            </w:pPr>
            <w:r>
              <w:rPr>
                <w:rFonts w:ascii="Arial" w:hAnsi="Arial"/>
                <w:sz w:val="16"/>
              </w:rPr>
              <w:t>89</w:t>
            </w:r>
          </w:p>
        </w:tc>
        <w:tc>
          <w:tcPr>
            <w:tcW w:w="1871" w:type="dxa"/>
            <w:tcBorders>
              <w:top w:val="none" w:sz="0" w:space="0" w:shadow="0" w:frame="0"/>
              <w:left w:val="single" w:sz="4"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98</w:t>
            </w:r>
          </w:p>
        </w:tc>
        <w:tc>
          <w:tcPr>
            <w:tcW w:w="1871" w:type="dxa"/>
            <w:tcBorders>
              <w:top w:val="none" w:sz="0" w:space="0" w:shadow="0" w:frame="0"/>
              <w:left w:val="none" w:sz="0" w:space="0" w:shadow="0" w:frame="0"/>
              <w:bottom w:val="none" w:sz="0" w:space="0" w:shadow="0" w:frame="0"/>
              <w:right w:val="none" w:sz="0" w:space="0" w:shadow="0" w:frame="0"/>
            </w:tcBorders>
          </w:tcPr>
          <w:p>
            <w:pPr>
              <w:spacing w:lineRule="auto" w:line="252"/>
              <w:ind w:right="284"/>
              <w:jc w:val="right"/>
              <w:rPr>
                <w:rFonts w:ascii="Arial" w:hAnsi="Arial"/>
                <w:sz w:val="16"/>
              </w:rPr>
            </w:pPr>
            <w:r>
              <w:rPr>
                <w:rFonts w:ascii="Arial" w:hAnsi="Arial"/>
                <w:sz w:val="16"/>
              </w:rPr>
              <w:t>46</w:t>
            </w:r>
          </w:p>
        </w:tc>
      </w:tr>
    </w:tbl>
    <w:p>
      <w:pPr>
        <w:rPr>
          <w:rFonts w:ascii="Arial" w:hAnsi="Arial"/>
          <w:sz w:val="14"/>
        </w:rPr>
      </w:pPr>
    </w:p>
    <w:p>
      <w:pPr>
        <w:rPr>
          <w:rFonts w:ascii="Arial" w:hAnsi="Arial"/>
          <w:b w:val="1"/>
          <w:sz w:val="14"/>
          <w:u w:val="single"/>
        </w:rPr>
      </w:pPr>
      <w:r>
        <w:rPr>
          <w:rFonts w:ascii="Arial" w:hAnsi="Arial"/>
          <w:sz w:val="14"/>
        </w:rPr>
        <w:t>Source: Ministry of the Interior of the Republic of Serbia.</w:t>
      </w:r>
    </w:p>
    <w:p>
      <w:pPr>
        <w:spacing w:after="60"/>
        <w:ind w:left="357"/>
        <w:rPr>
          <w:rFonts w:ascii="Arial" w:hAnsi="Arial"/>
          <w:b w:val="1"/>
          <w:sz w:val="20"/>
        </w:rPr>
      </w:pPr>
    </w:p>
    <w:p>
      <w:pPr>
        <w:spacing w:lineRule="auto" w:line="252" w:after="60"/>
        <w:ind w:hanging="284" w:left="284"/>
        <w:rPr>
          <w:rFonts w:ascii="Arial" w:hAnsi="Arial"/>
          <w:b w:val="1"/>
          <w:sz w:val="20"/>
        </w:rPr>
      </w:pPr>
    </w:p>
    <w:p>
      <w:pPr>
        <w:spacing w:lineRule="auto" w:line="252" w:after="60"/>
        <w:ind w:hanging="284" w:left="284"/>
        <w:rPr>
          <w:rFonts w:ascii="Arial" w:hAnsi="Arial"/>
          <w:b w:val="1"/>
          <w:sz w:val="20"/>
        </w:rPr>
      </w:pPr>
    </w:p>
    <w:p>
      <w:pPr>
        <w:spacing w:lineRule="auto" w:line="252" w:after="60"/>
        <w:ind w:hanging="284" w:left="284"/>
        <w:rPr>
          <w:rFonts w:ascii="Arial" w:hAnsi="Arial"/>
          <w:b w:val="1"/>
          <w:sz w:val="20"/>
        </w:rPr>
      </w:pPr>
    </w:p>
    <w:p>
      <w:pPr>
        <w:spacing w:lineRule="auto" w:line="252" w:after="60"/>
        <w:ind w:hanging="284" w:left="284"/>
        <w:rPr>
          <w:rFonts w:ascii="Arial" w:hAnsi="Arial"/>
          <w:b w:val="1"/>
          <w:sz w:val="20"/>
        </w:rPr>
      </w:pPr>
    </w:p>
    <w:p>
      <w:pPr>
        <w:spacing w:lineRule="auto" w:line="252" w:after="60"/>
        <w:ind w:hanging="284" w:left="284"/>
        <w:rPr>
          <w:rFonts w:ascii="Arial" w:hAnsi="Arial"/>
          <w:b w:val="1"/>
          <w:sz w:val="20"/>
        </w:rPr>
      </w:pPr>
    </w:p>
    <w:p>
      <w:pPr>
        <w:spacing w:lineRule="auto" w:line="252" w:after="60"/>
        <w:ind w:hanging="284" w:left="284"/>
        <w:rPr>
          <w:rFonts w:ascii="Arial" w:hAnsi="Arial"/>
          <w:b w:val="1"/>
          <w:sz w:val="20"/>
        </w:rPr>
      </w:pPr>
      <w:r>
        <w:rPr>
          <w:rFonts w:ascii="Arial" w:hAnsi="Arial"/>
          <w:b w:val="1"/>
          <w:sz w:val="20"/>
        </w:rPr>
        <w:t>4. Number of first time registered passenger</w:t>
      </w:r>
      <w:r>
        <w:rPr>
          <w:rFonts w:ascii="Arial" w:hAnsi="Arial"/>
          <w:b w:val="1"/>
          <w:sz w:val="20"/>
        </w:rPr>
        <w:t>s’</w:t>
      </w:r>
      <w:r>
        <w:rPr>
          <w:rFonts w:ascii="Arial" w:hAnsi="Arial"/>
          <w:b w:val="1"/>
          <w:sz w:val="20"/>
        </w:rPr>
        <w:t xml:space="preserve"> cars by the most dominant type of motor energy and size of engine </w:t>
      </w:r>
    </w:p>
    <w:tbl>
      <w:tblPr>
        <w:tblStyle w:val="T3"/>
        <w:tblW w:w="9809" w:type="dxa"/>
        <w:jc w:val="center"/>
        <w:tblLayout w:type="autofit"/>
        <w:tblCellMar>
          <w:left w:w="28" w:type="dxa"/>
          <w:right w:w="28" w:type="dxa"/>
        </w:tblCellMar>
      </w:tblPr>
      <w:tblGrid/>
      <w:tr>
        <w:trPr>
          <w:wAfter w:w="0" w:type="dxa"/>
        </w:trPr>
        <w:tc>
          <w:tcPr>
            <w:tcW w:w="2325" w:type="dxa"/>
            <w:vMerge w:val="restart"/>
            <w:tcBorders>
              <w:top w:val="single" w:sz="4" w:space="0" w:shadow="0" w:frame="0"/>
              <w:left w:val="none" w:sz="0" w:space="0" w:shadow="0" w:frame="0"/>
              <w:bottom w:val="single" w:sz="4" w:space="0" w:shadow="0" w:frame="0"/>
              <w:right w:val="single" w:sz="4" w:space="0" w:shadow="0" w:frame="0"/>
            </w:tcBorders>
            <w:vAlign w:val="center"/>
          </w:tcPr>
          <w:p>
            <w:pPr>
              <w:spacing w:before="60"/>
              <w:jc w:val="center"/>
              <w:rPr>
                <w:rFonts w:ascii="Arial" w:hAnsi="Arial"/>
                <w:sz w:val="16"/>
              </w:rPr>
            </w:pPr>
            <w:r>
              <w:rPr>
                <w:rFonts w:ascii="Arial" w:hAnsi="Arial"/>
                <w:sz w:val="16"/>
              </w:rPr>
              <w:t>Size of engine (cm</w:t>
            </w:r>
            <w:r>
              <w:rPr>
                <w:rFonts w:ascii="Arial" w:hAnsi="Arial"/>
                <w:sz w:val="16"/>
                <w:vertAlign w:val="superscript"/>
              </w:rPr>
              <w:t>3</w:t>
            </w:r>
            <w:r>
              <w:rPr>
                <w:rFonts w:ascii="Arial" w:hAnsi="Arial"/>
                <w:sz w:val="16"/>
              </w:rPr>
              <w:t>)</w:t>
            </w:r>
          </w:p>
        </w:tc>
        <w:tc>
          <w:tcPr>
            <w:tcW w:w="3742" w:type="dxa"/>
            <w:gridSpan w:val="2"/>
            <w:tcBorders>
              <w:left w:val="single" w:sz="4" w:space="0" w:shadow="0" w:frame="0"/>
            </w:tcBorders>
            <w:vAlign w:val="center"/>
          </w:tcPr>
          <w:p>
            <w:pPr>
              <w:spacing w:before="120" w:after="120"/>
              <w:jc w:val="center"/>
              <w:rPr>
                <w:rFonts w:ascii="Arial" w:hAnsi="Arial"/>
                <w:sz w:val="16"/>
              </w:rPr>
            </w:pPr>
            <w:r>
              <w:rPr>
                <w:rFonts w:ascii="Arial" w:hAnsi="Arial"/>
                <w:sz w:val="16"/>
              </w:rPr>
              <w:t>I quarter 2012</w:t>
            </w:r>
          </w:p>
        </w:tc>
        <w:tc>
          <w:tcPr>
            <w:tcW w:w="3742" w:type="dxa"/>
            <w:gridSpan w:val="2"/>
            <w:tcBorders>
              <w:right w:val="none" w:sz="0" w:space="0" w:shadow="0" w:frame="0"/>
            </w:tcBorders>
            <w:vAlign w:val="center"/>
          </w:tcPr>
          <w:p>
            <w:pPr>
              <w:spacing w:before="120" w:after="120"/>
              <w:jc w:val="center"/>
              <w:rPr>
                <w:rFonts w:ascii="Arial" w:hAnsi="Arial"/>
                <w:sz w:val="16"/>
              </w:rPr>
            </w:pPr>
            <w:r>
              <w:rPr>
                <w:rFonts w:ascii="Arial" w:hAnsi="Arial"/>
                <w:sz w:val="16"/>
              </w:rPr>
              <w:t>I quarter 2013</w:t>
            </w:r>
          </w:p>
        </w:tc>
      </w:tr>
      <w:tr>
        <w:trPr>
          <w:wAfter w:w="0" w:type="dxa"/>
        </w:trPr>
        <w:tc>
          <w:tcPr>
            <w:tcW w:w="2325" w:type="dxa"/>
            <w:vMerge w:val="continue"/>
            <w:tcBorders>
              <w:top w:val="none" w:sz="0" w:space="0" w:shadow="0" w:frame="0"/>
              <w:left w:val="none" w:sz="0" w:space="0" w:shadow="0" w:frame="0"/>
              <w:bottom w:val="single" w:sz="4" w:space="0" w:shadow="0" w:frame="0"/>
              <w:right w:val="single" w:sz="4" w:space="0" w:shadow="0" w:frame="0"/>
            </w:tcBorders>
            <w:vAlign w:val="center"/>
          </w:tcPr>
          <w:p>
            <w:pPr>
              <w:spacing w:lineRule="auto" w:line="252" w:before="60"/>
              <w:jc w:val="center"/>
              <w:rPr>
                <w:rFonts w:ascii="Arial" w:hAnsi="Arial"/>
                <w:sz w:val="16"/>
              </w:rPr>
            </w:pPr>
          </w:p>
        </w:tc>
        <w:tc>
          <w:tcPr>
            <w:tcW w:w="1871" w:type="dxa"/>
            <w:tcBorders>
              <w:left w:val="single" w:sz="4" w:space="0" w:shadow="0" w:frame="0"/>
              <w:bottom w:val="single" w:sz="4" w:space="0" w:shadow="0" w:frame="0"/>
            </w:tcBorders>
            <w:vAlign w:val="center"/>
          </w:tcPr>
          <w:p>
            <w:pPr>
              <w:spacing w:before="96"/>
              <w:jc w:val="center"/>
              <w:rPr>
                <w:rFonts w:ascii="Arial" w:hAnsi="Arial"/>
                <w:sz w:val="16"/>
              </w:rPr>
            </w:pPr>
            <w:r>
              <w:rPr>
                <w:rFonts w:ascii="Arial" w:hAnsi="Arial"/>
                <w:sz w:val="16"/>
              </w:rPr>
              <w:t>Total</w:t>
            </w:r>
          </w:p>
        </w:tc>
        <w:tc>
          <w:tcPr>
            <w:tcW w:w="1871" w:type="dxa"/>
            <w:tcBorders>
              <w:bottom w:val="single" w:sz="4" w:space="0" w:shadow="0" w:frame="0"/>
            </w:tcBorders>
            <w:vAlign w:val="center"/>
          </w:tcPr>
          <w:p>
            <w:pPr>
              <w:spacing w:before="60"/>
              <w:jc w:val="center"/>
              <w:rPr>
                <w:rFonts w:ascii="Arial" w:hAnsi="Arial"/>
                <w:sz w:val="16"/>
              </w:rPr>
            </w:pPr>
            <w:r>
              <w:rPr>
                <w:rFonts w:ascii="Arial" w:hAnsi="Arial"/>
                <w:sz w:val="16"/>
              </w:rPr>
              <w:t>up to 2 years</w:t>
            </w:r>
          </w:p>
        </w:tc>
        <w:tc>
          <w:tcPr>
            <w:tcW w:w="1871" w:type="dxa"/>
            <w:tcBorders>
              <w:bottom w:val="single" w:sz="4" w:space="0" w:shadow="0" w:frame="0"/>
            </w:tcBorders>
            <w:vAlign w:val="center"/>
          </w:tcPr>
          <w:p>
            <w:pPr>
              <w:spacing w:before="96"/>
              <w:jc w:val="center"/>
              <w:rPr>
                <w:rFonts w:ascii="Arial" w:hAnsi="Arial"/>
                <w:sz w:val="16"/>
              </w:rPr>
            </w:pPr>
            <w:r>
              <w:rPr>
                <w:rFonts w:ascii="Arial" w:hAnsi="Arial"/>
                <w:sz w:val="16"/>
              </w:rPr>
              <w:t>Total</w:t>
            </w:r>
          </w:p>
        </w:tc>
        <w:tc>
          <w:tcPr>
            <w:tcW w:w="1871" w:type="dxa"/>
            <w:tcBorders>
              <w:bottom w:val="single" w:sz="4" w:space="0" w:shadow="0" w:frame="0"/>
              <w:right w:val="none" w:sz="0" w:space="0" w:shadow="0" w:frame="0"/>
            </w:tcBorders>
            <w:vAlign w:val="center"/>
          </w:tcPr>
          <w:p>
            <w:pPr>
              <w:spacing w:before="60"/>
              <w:jc w:val="center"/>
              <w:rPr>
                <w:rFonts w:ascii="Arial" w:hAnsi="Arial"/>
                <w:sz w:val="16"/>
              </w:rPr>
            </w:pPr>
            <w:r>
              <w:rPr>
                <w:rFonts w:ascii="Arial" w:hAnsi="Arial"/>
                <w:sz w:val="16"/>
              </w:rPr>
              <w:t>up to 2 years</w:t>
            </w:r>
          </w:p>
        </w:tc>
      </w:tr>
      <w:tr>
        <w:trPr>
          <w:wAfter w:w="0" w:type="dxa"/>
        </w:trPr>
        <w:tc>
          <w:tcPr>
            <w:tcW w:w="2325"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52" w:before="120" w:after="120"/>
              <w:jc w:val="center"/>
              <w:rPr>
                <w:rFonts w:ascii="Arial" w:hAnsi="Arial"/>
                <w:b w:val="1"/>
                <w:sz w:val="16"/>
              </w:rPr>
            </w:pPr>
          </w:p>
        </w:tc>
        <w:tc>
          <w:tcPr>
            <w:tcW w:w="3742" w:type="dxa"/>
            <w:gridSpan w:val="2"/>
            <w:tcBorders>
              <w:top w:val="single" w:sz="4" w:space="0" w:shadow="0" w:frame="0"/>
              <w:left w:val="single" w:sz="4" w:space="0" w:shadow="0" w:frame="0"/>
              <w:bottom w:val="none" w:sz="0" w:space="0" w:shadow="0" w:frame="0"/>
              <w:right w:val="single" w:sz="4" w:space="0" w:shadow="0" w:frame="0"/>
            </w:tcBorders>
            <w:vAlign w:val="center"/>
          </w:tcPr>
          <w:p>
            <w:pPr>
              <w:spacing w:before="60"/>
              <w:jc w:val="center"/>
              <w:rPr>
                <w:rFonts w:ascii="Arial" w:hAnsi="Arial"/>
                <w:sz w:val="16"/>
              </w:rPr>
            </w:pPr>
            <w:r>
              <w:rPr>
                <w:rFonts w:ascii="Arial" w:hAnsi="Arial"/>
                <w:sz w:val="16"/>
              </w:rPr>
              <w:t>motor energy</w:t>
            </w:r>
            <w:r>
              <w:rPr>
                <w:rFonts w:ascii="Arial" w:hAnsi="Arial"/>
                <w:b w:val="1"/>
                <w:sz w:val="16"/>
              </w:rPr>
              <w:t xml:space="preserve"> </w:t>
            </w:r>
            <w:r>
              <w:rPr>
                <w:rFonts w:ascii="Arial" w:hAnsi="Arial"/>
                <w:sz w:val="16"/>
              </w:rPr>
              <w:t>- petrol</w:t>
            </w:r>
          </w:p>
        </w:tc>
        <w:tc>
          <w:tcPr>
            <w:tcW w:w="3742" w:type="dxa"/>
            <w:gridSpan w:val="2"/>
            <w:tcBorders>
              <w:top w:val="single" w:sz="4" w:space="0" w:shadow="0" w:frame="0"/>
              <w:left w:val="single" w:sz="4" w:space="0" w:shadow="0" w:frame="0"/>
              <w:bottom w:val="none" w:sz="0" w:space="0" w:shadow="0" w:frame="0"/>
              <w:right w:val="none" w:sz="0" w:space="0" w:shadow="0" w:frame="0"/>
            </w:tcBorders>
            <w:vAlign w:val="center"/>
          </w:tcPr>
          <w:p>
            <w:pPr>
              <w:spacing w:before="60"/>
              <w:jc w:val="center"/>
              <w:rPr>
                <w:rFonts w:ascii="Arial" w:hAnsi="Arial"/>
                <w:sz w:val="16"/>
              </w:rPr>
            </w:pPr>
            <w:r>
              <w:rPr>
                <w:rFonts w:ascii="Arial" w:hAnsi="Arial"/>
                <w:sz w:val="16"/>
              </w:rPr>
              <w:t>motor energy</w:t>
            </w:r>
            <w:r>
              <w:rPr>
                <w:rFonts w:ascii="Arial" w:hAnsi="Arial"/>
                <w:b w:val="1"/>
                <w:sz w:val="16"/>
              </w:rPr>
              <w:t xml:space="preserve"> </w:t>
            </w:r>
            <w:r>
              <w:rPr>
                <w:rFonts w:ascii="Arial" w:hAnsi="Arial"/>
                <w:sz w:val="16"/>
              </w:rPr>
              <w:t>- petrol</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Total</w:t>
            </w:r>
          </w:p>
        </w:tc>
        <w:tc>
          <w:tcPr>
            <w:tcW w:w="187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284"/>
              <w:jc w:val="right"/>
              <w:rPr>
                <w:rFonts w:ascii="Arial" w:hAnsi="Arial"/>
                <w:b w:val="1"/>
                <w:sz w:val="16"/>
              </w:rPr>
            </w:pPr>
            <w:r>
              <w:rPr>
                <w:rFonts w:ascii="Arial" w:hAnsi="Arial"/>
                <w:b w:val="1"/>
                <w:sz w:val="16"/>
              </w:rPr>
              <w:t>11963</w:t>
            </w:r>
          </w:p>
        </w:tc>
        <w:tc>
          <w:tcPr>
            <w:tcW w:w="187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284"/>
              <w:jc w:val="right"/>
              <w:rPr>
                <w:rFonts w:ascii="Arial" w:hAnsi="Arial"/>
                <w:b w:val="1"/>
                <w:sz w:val="16"/>
              </w:rPr>
            </w:pPr>
            <w:r>
              <w:rPr>
                <w:rFonts w:ascii="Arial" w:hAnsi="Arial"/>
                <w:b w:val="1"/>
                <w:sz w:val="16"/>
              </w:rPr>
              <w:t>2164</w:t>
            </w:r>
          </w:p>
        </w:tc>
        <w:tc>
          <w:tcPr>
            <w:tcW w:w="187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284"/>
              <w:jc w:val="right"/>
              <w:rPr>
                <w:rFonts w:ascii="Arial" w:hAnsi="Arial"/>
                <w:b w:val="1"/>
                <w:sz w:val="16"/>
              </w:rPr>
            </w:pPr>
            <w:r>
              <w:rPr>
                <w:rFonts w:ascii="Arial" w:hAnsi="Arial"/>
                <w:b w:val="1"/>
                <w:sz w:val="16"/>
              </w:rPr>
              <w:t>12027</w:t>
            </w:r>
          </w:p>
        </w:tc>
        <w:tc>
          <w:tcPr>
            <w:tcW w:w="187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284"/>
              <w:jc w:val="right"/>
              <w:rPr>
                <w:rFonts w:ascii="Arial" w:hAnsi="Arial"/>
                <w:b w:val="1"/>
                <w:sz w:val="16"/>
              </w:rPr>
            </w:pPr>
            <w:r>
              <w:rPr>
                <w:rFonts w:ascii="Arial" w:hAnsi="Arial"/>
                <w:b w:val="1"/>
                <w:sz w:val="16"/>
              </w:rPr>
              <w:t>1358</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Up to 1399</w:t>
            </w:r>
          </w:p>
        </w:tc>
        <w:tc>
          <w:tcPr>
            <w:tcW w:w="187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284"/>
              <w:jc w:val="right"/>
              <w:rPr>
                <w:rFonts w:ascii="Arial" w:hAnsi="Arial"/>
                <w:sz w:val="16"/>
              </w:rPr>
            </w:pPr>
            <w:r>
              <w:rPr>
                <w:rFonts w:ascii="Arial" w:hAnsi="Arial"/>
                <w:sz w:val="16"/>
              </w:rPr>
              <w:t>6954</w:t>
            </w:r>
          </w:p>
        </w:tc>
        <w:tc>
          <w:tcPr>
            <w:tcW w:w="187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284"/>
              <w:jc w:val="right"/>
              <w:rPr>
                <w:rFonts w:ascii="Arial" w:hAnsi="Arial"/>
                <w:sz w:val="16"/>
              </w:rPr>
            </w:pPr>
            <w:r>
              <w:rPr>
                <w:rFonts w:ascii="Arial" w:hAnsi="Arial"/>
                <w:sz w:val="16"/>
              </w:rPr>
              <w:t>1345</w:t>
            </w:r>
          </w:p>
        </w:tc>
        <w:tc>
          <w:tcPr>
            <w:tcW w:w="187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284"/>
              <w:jc w:val="right"/>
              <w:rPr>
                <w:rFonts w:ascii="Arial" w:hAnsi="Arial"/>
                <w:sz w:val="16"/>
              </w:rPr>
            </w:pPr>
            <w:r>
              <w:rPr>
                <w:rFonts w:ascii="Arial" w:hAnsi="Arial"/>
                <w:sz w:val="16"/>
              </w:rPr>
              <w:t>6830</w:t>
            </w:r>
          </w:p>
        </w:tc>
        <w:tc>
          <w:tcPr>
            <w:tcW w:w="187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284"/>
              <w:jc w:val="right"/>
              <w:rPr>
                <w:rFonts w:ascii="Arial" w:hAnsi="Arial"/>
                <w:sz w:val="16"/>
              </w:rPr>
            </w:pPr>
            <w:r>
              <w:rPr>
                <w:rFonts w:ascii="Arial" w:hAnsi="Arial"/>
                <w:sz w:val="16"/>
              </w:rPr>
              <w:t>786</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1400 - 1999</w:t>
            </w:r>
          </w:p>
        </w:tc>
        <w:tc>
          <w:tcPr>
            <w:tcW w:w="187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284"/>
              <w:jc w:val="right"/>
              <w:rPr>
                <w:rFonts w:ascii="Arial" w:hAnsi="Arial"/>
                <w:sz w:val="16"/>
              </w:rPr>
            </w:pPr>
            <w:r>
              <w:rPr>
                <w:rFonts w:ascii="Arial" w:hAnsi="Arial"/>
                <w:sz w:val="16"/>
              </w:rPr>
              <w:t>4840</w:t>
            </w:r>
          </w:p>
        </w:tc>
        <w:tc>
          <w:tcPr>
            <w:tcW w:w="187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284"/>
              <w:jc w:val="right"/>
              <w:rPr>
                <w:rFonts w:ascii="Arial" w:hAnsi="Arial"/>
                <w:sz w:val="16"/>
              </w:rPr>
            </w:pPr>
            <w:r>
              <w:rPr>
                <w:rFonts w:ascii="Arial" w:hAnsi="Arial"/>
                <w:sz w:val="16"/>
              </w:rPr>
              <w:t>802</w:t>
            </w:r>
          </w:p>
        </w:tc>
        <w:tc>
          <w:tcPr>
            <w:tcW w:w="187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284"/>
              <w:jc w:val="right"/>
              <w:rPr>
                <w:rFonts w:ascii="Arial" w:hAnsi="Arial"/>
                <w:sz w:val="16"/>
              </w:rPr>
            </w:pPr>
            <w:r>
              <w:rPr>
                <w:rFonts w:ascii="Arial" w:hAnsi="Arial"/>
                <w:sz w:val="16"/>
              </w:rPr>
              <w:t>5014</w:t>
            </w:r>
          </w:p>
        </w:tc>
        <w:tc>
          <w:tcPr>
            <w:tcW w:w="187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284"/>
              <w:jc w:val="right"/>
              <w:rPr>
                <w:rFonts w:ascii="Arial" w:hAnsi="Arial"/>
                <w:sz w:val="16"/>
              </w:rPr>
            </w:pPr>
            <w:r>
              <w:rPr>
                <w:rFonts w:ascii="Arial" w:hAnsi="Arial"/>
                <w:sz w:val="16"/>
              </w:rPr>
              <w:t>557</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2000 and more </w:t>
            </w:r>
          </w:p>
        </w:tc>
        <w:tc>
          <w:tcPr>
            <w:tcW w:w="187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284"/>
              <w:jc w:val="right"/>
              <w:rPr>
                <w:rFonts w:ascii="Arial" w:hAnsi="Arial"/>
                <w:sz w:val="16"/>
              </w:rPr>
            </w:pPr>
            <w:r>
              <w:rPr>
                <w:rFonts w:ascii="Arial" w:hAnsi="Arial"/>
                <w:sz w:val="16"/>
              </w:rPr>
              <w:t>169</w:t>
            </w:r>
          </w:p>
        </w:tc>
        <w:tc>
          <w:tcPr>
            <w:tcW w:w="187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284"/>
              <w:jc w:val="right"/>
              <w:rPr>
                <w:rFonts w:ascii="Arial" w:hAnsi="Arial"/>
                <w:sz w:val="16"/>
              </w:rPr>
            </w:pPr>
            <w:r>
              <w:rPr>
                <w:rFonts w:ascii="Arial" w:hAnsi="Arial"/>
                <w:sz w:val="16"/>
              </w:rPr>
              <w:t>17</w:t>
            </w:r>
          </w:p>
        </w:tc>
        <w:tc>
          <w:tcPr>
            <w:tcW w:w="187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284"/>
              <w:jc w:val="right"/>
              <w:rPr>
                <w:rFonts w:ascii="Arial" w:hAnsi="Arial"/>
                <w:sz w:val="16"/>
              </w:rPr>
            </w:pPr>
            <w:r>
              <w:rPr>
                <w:rFonts w:ascii="Arial" w:hAnsi="Arial"/>
                <w:sz w:val="16"/>
              </w:rPr>
              <w:t>183</w:t>
            </w:r>
          </w:p>
        </w:tc>
        <w:tc>
          <w:tcPr>
            <w:tcW w:w="187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284"/>
              <w:jc w:val="right"/>
              <w:rPr>
                <w:rFonts w:ascii="Arial" w:hAnsi="Arial"/>
                <w:sz w:val="16"/>
              </w:rPr>
            </w:pPr>
            <w:r>
              <w:rPr>
                <w:rFonts w:ascii="Arial" w:hAnsi="Arial"/>
                <w:sz w:val="16"/>
              </w:rPr>
              <w:t>15</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before="120" w:after="120"/>
              <w:jc w:val="center"/>
              <w:rPr>
                <w:rFonts w:ascii="Arial" w:hAnsi="Arial"/>
                <w:b w:val="1"/>
                <w:sz w:val="16"/>
              </w:rPr>
            </w:pPr>
          </w:p>
        </w:tc>
        <w:tc>
          <w:tcPr>
            <w:tcW w:w="3742" w:type="dxa"/>
            <w:gridSpan w:val="2"/>
            <w:tcBorders>
              <w:top w:val="none" w:sz="0" w:space="0" w:shadow="0" w:frame="0"/>
              <w:left w:val="single" w:sz="4" w:space="0" w:shadow="0" w:frame="0"/>
              <w:bottom w:val="none" w:sz="0" w:space="0" w:shadow="0" w:frame="0"/>
              <w:right w:val="single" w:sz="4" w:space="0" w:shadow="0" w:frame="0"/>
            </w:tcBorders>
            <w:vAlign w:val="center"/>
          </w:tcPr>
          <w:p>
            <w:pPr>
              <w:spacing w:before="60"/>
              <w:jc w:val="center"/>
              <w:rPr>
                <w:rFonts w:ascii="Arial" w:hAnsi="Arial"/>
                <w:sz w:val="16"/>
              </w:rPr>
            </w:pPr>
            <w:r>
              <w:rPr>
                <w:rFonts w:ascii="Arial" w:hAnsi="Arial"/>
                <w:sz w:val="16"/>
              </w:rPr>
              <w:t>motor energy</w:t>
            </w:r>
            <w:r>
              <w:rPr>
                <w:rFonts w:ascii="Arial" w:hAnsi="Arial"/>
                <w:b w:val="1"/>
                <w:sz w:val="16"/>
              </w:rPr>
              <w:t xml:space="preserve"> </w:t>
            </w:r>
            <w:r>
              <w:rPr>
                <w:rFonts w:ascii="Arial" w:hAnsi="Arial"/>
                <w:sz w:val="16"/>
              </w:rPr>
              <w:t>- diesel</w:t>
            </w:r>
          </w:p>
        </w:tc>
        <w:tc>
          <w:tcPr>
            <w:tcW w:w="3742" w:type="dxa"/>
            <w:gridSpan w:val="2"/>
            <w:tcBorders>
              <w:top w:val="none" w:sz="0" w:space="0" w:shadow="0" w:frame="0"/>
              <w:left w:val="single" w:sz="4" w:space="0" w:shadow="0" w:frame="0"/>
              <w:bottom w:val="none" w:sz="0" w:space="0" w:shadow="0" w:frame="0"/>
              <w:right w:val="none" w:sz="0" w:space="0" w:shadow="0" w:frame="0"/>
            </w:tcBorders>
            <w:vAlign w:val="center"/>
          </w:tcPr>
          <w:p>
            <w:pPr>
              <w:spacing w:before="60"/>
              <w:jc w:val="center"/>
              <w:rPr>
                <w:rFonts w:ascii="Arial" w:hAnsi="Arial"/>
                <w:sz w:val="16"/>
              </w:rPr>
            </w:pPr>
            <w:r>
              <w:rPr>
                <w:rFonts w:ascii="Arial" w:hAnsi="Arial"/>
                <w:sz w:val="16"/>
              </w:rPr>
              <w:t>motor energy</w:t>
            </w:r>
            <w:r>
              <w:rPr>
                <w:rFonts w:ascii="Arial" w:hAnsi="Arial"/>
                <w:b w:val="1"/>
                <w:sz w:val="16"/>
              </w:rPr>
              <w:t xml:space="preserve"> </w:t>
            </w:r>
            <w:r>
              <w:rPr>
                <w:rFonts w:ascii="Arial" w:hAnsi="Arial"/>
                <w:sz w:val="16"/>
              </w:rPr>
              <w:t>- diesel</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Total</w:t>
            </w:r>
          </w:p>
        </w:tc>
        <w:tc>
          <w:tcPr>
            <w:tcW w:w="187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284"/>
              <w:jc w:val="right"/>
              <w:rPr>
                <w:rFonts w:ascii="Arial" w:hAnsi="Arial"/>
                <w:b w:val="1"/>
                <w:sz w:val="16"/>
              </w:rPr>
            </w:pPr>
            <w:r>
              <w:rPr>
                <w:rFonts w:ascii="Arial" w:hAnsi="Arial"/>
                <w:b w:val="1"/>
                <w:sz w:val="16"/>
              </w:rPr>
              <w:t>14837</w:t>
            </w:r>
          </w:p>
        </w:tc>
        <w:tc>
          <w:tcPr>
            <w:tcW w:w="187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284"/>
              <w:jc w:val="right"/>
              <w:rPr>
                <w:rFonts w:ascii="Arial" w:hAnsi="Arial"/>
                <w:b w:val="1"/>
                <w:sz w:val="16"/>
              </w:rPr>
            </w:pPr>
            <w:r>
              <w:rPr>
                <w:rFonts w:ascii="Arial" w:hAnsi="Arial"/>
                <w:b w:val="1"/>
                <w:sz w:val="16"/>
              </w:rPr>
              <w:t>1489</w:t>
            </w:r>
          </w:p>
        </w:tc>
        <w:tc>
          <w:tcPr>
            <w:tcW w:w="187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284"/>
              <w:jc w:val="right"/>
              <w:rPr>
                <w:rFonts w:ascii="Arial" w:hAnsi="Arial"/>
                <w:b w:val="1"/>
                <w:sz w:val="16"/>
              </w:rPr>
            </w:pPr>
            <w:r>
              <w:rPr>
                <w:rFonts w:ascii="Arial" w:hAnsi="Arial"/>
                <w:b w:val="1"/>
                <w:sz w:val="16"/>
              </w:rPr>
              <w:t>17739</w:t>
            </w:r>
          </w:p>
        </w:tc>
        <w:tc>
          <w:tcPr>
            <w:tcW w:w="187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284"/>
              <w:jc w:val="right"/>
              <w:rPr>
                <w:rFonts w:ascii="Arial" w:hAnsi="Arial"/>
                <w:b w:val="1"/>
                <w:sz w:val="16"/>
              </w:rPr>
            </w:pPr>
            <w:r>
              <w:rPr>
                <w:rFonts w:ascii="Arial" w:hAnsi="Arial"/>
                <w:b w:val="1"/>
                <w:sz w:val="16"/>
              </w:rPr>
              <w:t>1341</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Up to 1399</w:t>
            </w:r>
          </w:p>
        </w:tc>
        <w:tc>
          <w:tcPr>
            <w:tcW w:w="187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284"/>
              <w:jc w:val="right"/>
              <w:rPr>
                <w:rFonts w:ascii="Arial" w:hAnsi="Arial"/>
                <w:sz w:val="16"/>
              </w:rPr>
            </w:pPr>
            <w:r>
              <w:rPr>
                <w:rFonts w:ascii="Arial" w:hAnsi="Arial"/>
                <w:sz w:val="16"/>
              </w:rPr>
              <w:t>968</w:t>
            </w:r>
          </w:p>
        </w:tc>
        <w:tc>
          <w:tcPr>
            <w:tcW w:w="187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284"/>
              <w:jc w:val="right"/>
              <w:rPr>
                <w:rFonts w:ascii="Arial" w:hAnsi="Arial"/>
                <w:sz w:val="16"/>
              </w:rPr>
            </w:pPr>
            <w:r>
              <w:rPr>
                <w:rFonts w:ascii="Arial" w:hAnsi="Arial"/>
                <w:sz w:val="16"/>
              </w:rPr>
              <w:t>124</w:t>
            </w:r>
          </w:p>
        </w:tc>
        <w:tc>
          <w:tcPr>
            <w:tcW w:w="187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284"/>
              <w:jc w:val="right"/>
              <w:rPr>
                <w:rFonts w:ascii="Arial" w:hAnsi="Arial"/>
                <w:sz w:val="16"/>
              </w:rPr>
            </w:pPr>
            <w:r>
              <w:rPr>
                <w:rFonts w:ascii="Arial" w:hAnsi="Arial"/>
                <w:sz w:val="16"/>
              </w:rPr>
              <w:t>1220</w:t>
            </w:r>
          </w:p>
        </w:tc>
        <w:tc>
          <w:tcPr>
            <w:tcW w:w="187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284"/>
              <w:jc w:val="right"/>
              <w:rPr>
                <w:rFonts w:ascii="Arial" w:hAnsi="Arial"/>
                <w:sz w:val="16"/>
              </w:rPr>
            </w:pPr>
            <w:r>
              <w:rPr>
                <w:rFonts w:ascii="Arial" w:hAnsi="Arial"/>
                <w:sz w:val="16"/>
              </w:rPr>
              <w:t>87</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1400 - 1999</w:t>
            </w:r>
          </w:p>
        </w:tc>
        <w:tc>
          <w:tcPr>
            <w:tcW w:w="187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284"/>
              <w:jc w:val="right"/>
              <w:rPr>
                <w:rFonts w:ascii="Arial" w:hAnsi="Arial"/>
                <w:sz w:val="16"/>
              </w:rPr>
            </w:pPr>
            <w:r>
              <w:rPr>
                <w:rFonts w:ascii="Arial" w:hAnsi="Arial"/>
                <w:sz w:val="16"/>
              </w:rPr>
              <w:t>12774</w:t>
            </w:r>
          </w:p>
        </w:tc>
        <w:tc>
          <w:tcPr>
            <w:tcW w:w="187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284"/>
              <w:jc w:val="right"/>
              <w:rPr>
                <w:rFonts w:ascii="Arial" w:hAnsi="Arial"/>
                <w:sz w:val="16"/>
              </w:rPr>
            </w:pPr>
            <w:r>
              <w:rPr>
                <w:rFonts w:ascii="Arial" w:hAnsi="Arial"/>
                <w:sz w:val="16"/>
              </w:rPr>
              <w:t>1128</w:t>
            </w:r>
          </w:p>
        </w:tc>
        <w:tc>
          <w:tcPr>
            <w:tcW w:w="187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284"/>
              <w:jc w:val="right"/>
              <w:rPr>
                <w:rFonts w:ascii="Arial" w:hAnsi="Arial"/>
                <w:sz w:val="16"/>
              </w:rPr>
            </w:pPr>
            <w:r>
              <w:rPr>
                <w:rFonts w:ascii="Arial" w:hAnsi="Arial"/>
                <w:sz w:val="16"/>
              </w:rPr>
              <w:t>15100</w:t>
            </w:r>
          </w:p>
        </w:tc>
        <w:tc>
          <w:tcPr>
            <w:tcW w:w="187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284"/>
              <w:jc w:val="right"/>
              <w:rPr>
                <w:rFonts w:ascii="Arial" w:hAnsi="Arial"/>
                <w:sz w:val="16"/>
              </w:rPr>
            </w:pPr>
            <w:r>
              <w:rPr>
                <w:rFonts w:ascii="Arial" w:hAnsi="Arial"/>
                <w:sz w:val="16"/>
              </w:rPr>
              <w:t>1036</w:t>
            </w:r>
          </w:p>
        </w:tc>
      </w:tr>
      <w:tr>
        <w:trPr>
          <w:wAfter w:w="0" w:type="dxa"/>
        </w:trPr>
        <w:tc>
          <w:tcPr>
            <w:tcW w:w="232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2000 and more </w:t>
            </w:r>
          </w:p>
        </w:tc>
        <w:tc>
          <w:tcPr>
            <w:tcW w:w="187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284"/>
              <w:jc w:val="right"/>
              <w:rPr>
                <w:rFonts w:ascii="Arial" w:hAnsi="Arial"/>
                <w:sz w:val="16"/>
              </w:rPr>
            </w:pPr>
            <w:r>
              <w:rPr>
                <w:rFonts w:ascii="Arial" w:hAnsi="Arial"/>
                <w:sz w:val="16"/>
              </w:rPr>
              <w:t>1095</w:t>
            </w:r>
          </w:p>
        </w:tc>
        <w:tc>
          <w:tcPr>
            <w:tcW w:w="187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284"/>
              <w:jc w:val="right"/>
              <w:rPr>
                <w:rFonts w:ascii="Arial" w:hAnsi="Arial"/>
                <w:sz w:val="16"/>
              </w:rPr>
            </w:pPr>
            <w:r>
              <w:rPr>
                <w:rFonts w:ascii="Arial" w:hAnsi="Arial"/>
                <w:sz w:val="16"/>
              </w:rPr>
              <w:t>237</w:t>
            </w:r>
          </w:p>
        </w:tc>
        <w:tc>
          <w:tcPr>
            <w:tcW w:w="187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284"/>
              <w:jc w:val="right"/>
              <w:rPr>
                <w:rFonts w:ascii="Arial" w:hAnsi="Arial"/>
                <w:sz w:val="16"/>
              </w:rPr>
            </w:pPr>
            <w:r>
              <w:rPr>
                <w:rFonts w:ascii="Arial" w:hAnsi="Arial"/>
                <w:sz w:val="16"/>
              </w:rPr>
              <w:t>1419</w:t>
            </w:r>
          </w:p>
        </w:tc>
        <w:tc>
          <w:tcPr>
            <w:tcW w:w="187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284"/>
              <w:jc w:val="right"/>
              <w:rPr>
                <w:rFonts w:ascii="Arial" w:hAnsi="Arial"/>
                <w:sz w:val="16"/>
              </w:rPr>
            </w:pPr>
            <w:r>
              <w:rPr>
                <w:rFonts w:ascii="Arial" w:hAnsi="Arial"/>
                <w:sz w:val="16"/>
              </w:rPr>
              <w:t>218</w:t>
            </w:r>
          </w:p>
        </w:tc>
      </w:tr>
    </w:tbl>
    <w:p>
      <w:pPr>
        <w:spacing w:lineRule="auto" w:line="252"/>
        <w:rPr>
          <w:rFonts w:ascii="Arial" w:hAnsi="Arial"/>
          <w:sz w:val="14"/>
        </w:rPr>
      </w:pPr>
    </w:p>
    <w:p>
      <w:pPr>
        <w:rPr>
          <w:rFonts w:ascii="Arial" w:hAnsi="Arial"/>
          <w:b w:val="1"/>
          <w:sz w:val="14"/>
          <w:u w:val="single"/>
        </w:rPr>
      </w:pPr>
      <w:r>
        <w:rPr>
          <w:rFonts w:ascii="Arial" w:hAnsi="Arial"/>
          <w:sz w:val="14"/>
        </w:rPr>
        <w:t>Source: Ministry of the Interior of the Republic of Serbia.</w:t>
      </w:r>
    </w:p>
    <w:p>
      <w:pPr>
        <w:spacing w:lineRule="auto" w:line="252" w:after="60"/>
        <w:rPr>
          <w:rFonts w:ascii="Arial" w:hAnsi="Arial"/>
          <w:b w:val="1"/>
          <w:sz w:val="40"/>
        </w:rPr>
      </w:pPr>
    </w:p>
    <w:p>
      <w:pPr>
        <w:spacing w:after="60"/>
        <w:rPr>
          <w:rFonts w:ascii="Arial" w:hAnsi="Arial"/>
          <w:b w:val="1"/>
          <w:sz w:val="20"/>
        </w:rPr>
      </w:pPr>
      <w:r>
        <w:rPr>
          <w:rFonts w:ascii="Arial" w:hAnsi="Arial"/>
          <w:b w:val="1"/>
          <w:sz w:val="20"/>
        </w:rPr>
        <w:t xml:space="preserve">5. </w:t>
      </w:r>
      <w:r>
        <w:rPr>
          <w:rFonts w:ascii="Arial" w:hAnsi="Arial"/>
          <w:b w:val="1"/>
          <w:sz w:val="20"/>
        </w:rPr>
        <w:t>Number of injury road accidents</w:t>
      </w:r>
      <w:r>
        <w:rPr>
          <w:rFonts w:ascii="Arial" w:hAnsi="Arial"/>
          <w:b w:val="1"/>
          <w:sz w:val="20"/>
          <w:vertAlign w:val="superscript"/>
        </w:rPr>
        <w:t>1)</w:t>
      </w:r>
    </w:p>
    <w:tbl>
      <w:tblPr>
        <w:tblStyle w:val="T3"/>
        <w:tblW w:w="0" w:type="auto"/>
        <w:jc w:val="center"/>
        <w:tblLayout w:type="fixed"/>
        <w:tblCellMar>
          <w:left w:w="28" w:type="dxa"/>
          <w:right w:w="28" w:type="dxa"/>
        </w:tblCellMar>
      </w:tblPr>
      <w:tblGrid/>
      <w:tr>
        <w:trPr>
          <w:wAfter w:w="0" w:type="dxa"/>
        </w:trPr>
        <w:tc>
          <w:tcPr>
            <w:tcW w:w="2665" w:type="dxa"/>
            <w:vMerge w:val="restart"/>
            <w:tcBorders>
              <w:top w:val="single" w:sz="4" w:space="0" w:shadow="0" w:frame="0"/>
              <w:left w:val="none" w:sz="0" w:space="0" w:shadow="0" w:frame="0"/>
              <w:bottom w:val="single" w:sz="4" w:space="0" w:shadow="0" w:frame="0"/>
              <w:right w:val="single" w:sz="4" w:space="0" w:shadow="0" w:frame="0"/>
            </w:tcBorders>
            <w:shd w:val="nil" w:color="auto" w:fill="auto"/>
            <w:vAlign w:val="center"/>
          </w:tcPr>
          <w:p>
            <w:pPr>
              <w:spacing w:lineRule="auto" w:line="252"/>
              <w:jc w:val="center"/>
              <w:rPr>
                <w:rFonts w:ascii="Arial" w:hAnsi="Arial"/>
                <w:sz w:val="16"/>
              </w:rPr>
            </w:pPr>
            <w:r>
              <w:rPr>
                <w:rFonts w:ascii="Arial" w:hAnsi="Arial"/>
                <w:sz w:val="16"/>
              </w:rPr>
              <w:t>Location of accidents</w:t>
            </w:r>
          </w:p>
        </w:tc>
        <w:tc>
          <w:tcPr>
            <w:tcW w:w="3573" w:type="dxa"/>
            <w:gridSpan w:val="3"/>
            <w:tcBorders>
              <w:left w:val="single" w:sz="4" w:space="0" w:shadow="0" w:frame="0"/>
            </w:tcBorders>
            <w:shd w:val="nil" w:color="auto" w:fill="auto"/>
            <w:vAlign w:val="center"/>
          </w:tcPr>
          <w:p>
            <w:pPr>
              <w:spacing w:before="120" w:after="120"/>
              <w:jc w:val="center"/>
              <w:rPr>
                <w:rFonts w:ascii="Arial" w:hAnsi="Arial"/>
                <w:sz w:val="16"/>
              </w:rPr>
            </w:pPr>
            <w:r>
              <w:rPr>
                <w:rFonts w:ascii="Arial" w:hAnsi="Arial"/>
                <w:sz w:val="16"/>
              </w:rPr>
              <w:t>I quarter 2012</w:t>
            </w:r>
          </w:p>
        </w:tc>
        <w:tc>
          <w:tcPr>
            <w:tcW w:w="3573" w:type="dxa"/>
            <w:gridSpan w:val="3"/>
            <w:tcBorders>
              <w:right w:val="none" w:sz="0" w:space="0" w:shadow="0" w:frame="0"/>
            </w:tcBorders>
            <w:vAlign w:val="center"/>
          </w:tcPr>
          <w:p>
            <w:pPr>
              <w:spacing w:before="120" w:after="120"/>
              <w:jc w:val="center"/>
              <w:rPr>
                <w:rFonts w:ascii="Arial" w:hAnsi="Arial"/>
                <w:sz w:val="16"/>
              </w:rPr>
            </w:pPr>
            <w:r>
              <w:rPr>
                <w:rFonts w:ascii="Arial" w:hAnsi="Arial"/>
                <w:sz w:val="16"/>
              </w:rPr>
              <w:t>I quarter 2013</w:t>
            </w:r>
          </w:p>
        </w:tc>
      </w:tr>
      <w:tr>
        <w:trPr>
          <w:wAfter w:w="0" w:type="dxa"/>
        </w:trPr>
        <w:tc>
          <w:tcPr>
            <w:tcW w:w="2665" w:type="dxa"/>
            <w:vMerge w:val="continue"/>
            <w:tcBorders>
              <w:top w:val="none" w:sz="0" w:space="0" w:shadow="0" w:frame="0"/>
              <w:left w:val="none" w:sz="0" w:space="0" w:shadow="0" w:frame="0"/>
              <w:bottom w:val="single" w:sz="4" w:space="0" w:shadow="0" w:frame="0"/>
              <w:right w:val="single" w:sz="4" w:space="0" w:shadow="0" w:frame="0"/>
            </w:tcBorders>
            <w:shd w:val="nil" w:color="auto" w:fill="auto"/>
            <w:vAlign w:val="center"/>
          </w:tcPr>
          <w:p>
            <w:pPr>
              <w:spacing w:lineRule="auto" w:line="252"/>
              <w:jc w:val="center"/>
              <w:rPr>
                <w:rFonts w:ascii="Arial" w:hAnsi="Arial"/>
                <w:sz w:val="16"/>
              </w:rPr>
            </w:pPr>
          </w:p>
        </w:tc>
        <w:tc>
          <w:tcPr>
            <w:tcW w:w="1191" w:type="dxa"/>
            <w:tcBorders>
              <w:left w:val="single" w:sz="4" w:space="0" w:shadow="0" w:frame="0"/>
              <w:bottom w:val="single" w:sz="4" w:space="0" w:shadow="0" w:frame="0"/>
            </w:tcBorders>
            <w:shd w:val="nil" w:color="auto" w:fill="auto"/>
            <w:vAlign w:val="center"/>
          </w:tcPr>
          <w:p>
            <w:pPr>
              <w:tabs>
                <w:tab w:val="left" w:pos="3969" w:leader="none"/>
              </w:tabs>
              <w:spacing w:before="40" w:after="40"/>
              <w:ind w:left="-57" w:right="-57"/>
              <w:jc w:val="center"/>
              <w:rPr>
                <w:rFonts w:ascii="Arial" w:hAnsi="Arial"/>
                <w:sz w:val="16"/>
              </w:rPr>
            </w:pPr>
            <w:r>
              <w:rPr>
                <w:rFonts w:ascii="Arial" w:hAnsi="Arial"/>
                <w:sz w:val="16"/>
              </w:rPr>
              <w:t>Total injury accidents</w:t>
            </w:r>
          </w:p>
        </w:tc>
        <w:tc>
          <w:tcPr>
            <w:tcW w:w="1191" w:type="dxa"/>
            <w:tcBorders>
              <w:bottom w:val="single" w:sz="4" w:space="0" w:shadow="0" w:frame="0"/>
            </w:tcBorders>
            <w:shd w:val="nil" w:color="auto" w:fill="auto"/>
            <w:vAlign w:val="center"/>
          </w:tcPr>
          <w:p>
            <w:pPr>
              <w:tabs>
                <w:tab w:val="left" w:pos="3969" w:leader="none"/>
              </w:tabs>
              <w:spacing w:before="40" w:after="40"/>
              <w:ind w:left="-57" w:right="-57"/>
              <w:jc w:val="center"/>
              <w:rPr>
                <w:rFonts w:ascii="CTimesRoman" w:hAnsi="CTimesRoman"/>
                <w:sz w:val="16"/>
              </w:rPr>
            </w:pPr>
            <w:r>
              <w:rPr>
                <w:rFonts w:ascii="Arial" w:hAnsi="Arial"/>
                <w:sz w:val="16"/>
              </w:rPr>
              <w:t>with persons killed</w:t>
            </w:r>
          </w:p>
        </w:tc>
        <w:tc>
          <w:tcPr>
            <w:tcW w:w="1191" w:type="dxa"/>
            <w:tcBorders>
              <w:bottom w:val="single" w:sz="4" w:space="0" w:shadow="0" w:frame="0"/>
            </w:tcBorders>
            <w:shd w:val="nil" w:color="auto" w:fill="auto"/>
            <w:vAlign w:val="center"/>
          </w:tcPr>
          <w:p>
            <w:pPr>
              <w:tabs>
                <w:tab w:val="left" w:pos="3969" w:leader="none"/>
              </w:tabs>
              <w:spacing w:before="40" w:after="40"/>
              <w:ind w:left="-57" w:right="-57"/>
              <w:jc w:val="center"/>
              <w:rPr>
                <w:rFonts w:ascii="CTimesRoman" w:hAnsi="CTimesRoman"/>
                <w:sz w:val="16"/>
              </w:rPr>
            </w:pPr>
            <w:r>
              <w:rPr>
                <w:rFonts w:ascii="Arial" w:hAnsi="Arial"/>
                <w:sz w:val="16"/>
              </w:rPr>
              <w:t xml:space="preserve">with   persons injured</w:t>
            </w:r>
          </w:p>
        </w:tc>
        <w:tc>
          <w:tcPr>
            <w:tcW w:w="1191" w:type="dxa"/>
            <w:tcBorders>
              <w:bottom w:val="single" w:sz="4" w:space="0" w:shadow="0" w:frame="0"/>
            </w:tcBorders>
            <w:shd w:val="nil" w:color="auto" w:fill="auto"/>
            <w:vAlign w:val="center"/>
          </w:tcPr>
          <w:p>
            <w:pPr>
              <w:tabs>
                <w:tab w:val="left" w:pos="3969" w:leader="none"/>
              </w:tabs>
              <w:spacing w:before="40" w:after="40"/>
              <w:ind w:left="-57" w:right="-57"/>
              <w:jc w:val="center"/>
              <w:rPr>
                <w:rFonts w:ascii="Arial" w:hAnsi="Arial"/>
                <w:sz w:val="16"/>
              </w:rPr>
            </w:pPr>
            <w:r>
              <w:rPr>
                <w:rFonts w:ascii="Arial" w:hAnsi="Arial"/>
                <w:sz w:val="16"/>
              </w:rPr>
              <w:t>Total injury accidents</w:t>
            </w:r>
          </w:p>
        </w:tc>
        <w:tc>
          <w:tcPr>
            <w:tcW w:w="1191" w:type="dxa"/>
            <w:tcBorders>
              <w:bottom w:val="single" w:sz="4" w:space="0" w:shadow="0" w:frame="0"/>
            </w:tcBorders>
            <w:shd w:val="nil" w:color="auto" w:fill="auto"/>
            <w:vAlign w:val="center"/>
          </w:tcPr>
          <w:p>
            <w:pPr>
              <w:tabs>
                <w:tab w:val="left" w:pos="3969" w:leader="none"/>
              </w:tabs>
              <w:spacing w:before="40" w:after="40"/>
              <w:ind w:left="-57" w:right="-57"/>
              <w:jc w:val="center"/>
              <w:rPr>
                <w:rFonts w:ascii="CTimesRoman" w:hAnsi="CTimesRoman"/>
                <w:sz w:val="16"/>
              </w:rPr>
            </w:pPr>
            <w:r>
              <w:rPr>
                <w:rFonts w:ascii="Arial" w:hAnsi="Arial"/>
                <w:sz w:val="16"/>
              </w:rPr>
              <w:t>with persons killed</w:t>
            </w:r>
          </w:p>
        </w:tc>
        <w:tc>
          <w:tcPr>
            <w:tcW w:w="1191" w:type="dxa"/>
            <w:tcBorders>
              <w:bottom w:val="single" w:sz="4" w:space="0" w:shadow="0" w:frame="0"/>
              <w:right w:val="none" w:sz="0" w:space="0" w:shadow="0" w:frame="0"/>
            </w:tcBorders>
            <w:vAlign w:val="center"/>
          </w:tcPr>
          <w:p>
            <w:pPr>
              <w:tabs>
                <w:tab w:val="left" w:pos="3969" w:leader="none"/>
              </w:tabs>
              <w:spacing w:before="40" w:after="40"/>
              <w:ind w:left="-57" w:right="-57"/>
              <w:jc w:val="center"/>
              <w:rPr>
                <w:rFonts w:ascii="CTimesRoman" w:hAnsi="CTimesRoman"/>
                <w:sz w:val="16"/>
              </w:rPr>
            </w:pPr>
            <w:r>
              <w:rPr>
                <w:rFonts w:ascii="Arial" w:hAnsi="Arial"/>
                <w:sz w:val="16"/>
              </w:rPr>
              <w:t xml:space="preserve">with   persons injured</w:t>
            </w:r>
          </w:p>
        </w:tc>
      </w:tr>
      <w:tr>
        <w:trPr>
          <w:wAfter w:w="0" w:type="dxa"/>
        </w:trPr>
        <w:tc>
          <w:tcPr>
            <w:tcW w:w="2665"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b w:val="1"/>
                <w:sz w:val="16"/>
              </w:rPr>
            </w:pPr>
          </w:p>
        </w:tc>
        <w:tc>
          <w:tcPr>
            <w:tcW w:w="1191"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1191"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1191"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52"/>
              <w:jc w:val="right"/>
              <w:rPr>
                <w:rFonts w:ascii="Arial" w:hAnsi="Arial"/>
                <w:b w:val="1"/>
                <w:sz w:val="16"/>
              </w:rPr>
            </w:pPr>
          </w:p>
        </w:tc>
        <w:tc>
          <w:tcPr>
            <w:tcW w:w="1191"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1191"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1191"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4"/>
              </w:rPr>
            </w:pPr>
            <w:r>
              <w:rPr>
                <w:rFonts w:ascii="Arial" w:hAnsi="Arial"/>
                <w:b w:val="1"/>
                <w:sz w:val="14"/>
              </w:rPr>
              <w:t>Total</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b w:val="1"/>
                <w:sz w:val="16"/>
              </w:rPr>
            </w:pPr>
            <w:r>
              <w:rPr>
                <w:rFonts w:ascii="Arial" w:hAnsi="Arial"/>
                <w:b w:val="1"/>
                <w:sz w:val="16"/>
              </w:rPr>
              <w:t>2222</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b w:val="1"/>
                <w:sz w:val="16"/>
              </w:rPr>
            </w:pPr>
            <w:r>
              <w:rPr>
                <w:rFonts w:ascii="Arial" w:hAnsi="Arial"/>
                <w:b w:val="1"/>
                <w:sz w:val="16"/>
              </w:rPr>
              <w:t>83</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113"/>
              <w:jc w:val="right"/>
              <w:rPr>
                <w:rFonts w:ascii="Arial" w:hAnsi="Arial"/>
                <w:b w:val="1"/>
                <w:sz w:val="16"/>
              </w:rPr>
            </w:pPr>
            <w:r>
              <w:rPr>
                <w:rFonts w:ascii="Arial" w:hAnsi="Arial"/>
                <w:b w:val="1"/>
                <w:sz w:val="16"/>
              </w:rPr>
              <w:t>2139</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b w:val="1"/>
                <w:sz w:val="16"/>
              </w:rPr>
            </w:pPr>
            <w:r>
              <w:rPr>
                <w:rFonts w:ascii="Arial" w:hAnsi="Arial"/>
                <w:b w:val="1"/>
                <w:sz w:val="16"/>
              </w:rPr>
              <w:t>2610</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b w:val="1"/>
                <w:sz w:val="16"/>
              </w:rPr>
            </w:pPr>
            <w:r>
              <w:rPr>
                <w:rFonts w:ascii="Arial" w:hAnsi="Arial"/>
                <w:b w:val="1"/>
                <w:sz w:val="16"/>
              </w:rPr>
              <w:t>98</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b w:val="1"/>
                <w:sz w:val="16"/>
              </w:rPr>
            </w:pPr>
            <w:r>
              <w:rPr>
                <w:rFonts w:ascii="Arial" w:hAnsi="Arial"/>
                <w:b w:val="1"/>
                <w:sz w:val="16"/>
              </w:rPr>
              <w:t>2512</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4"/>
              </w:rPr>
            </w:pPr>
            <w:r>
              <w:rPr>
                <w:rFonts w:ascii="Arial" w:hAnsi="Arial"/>
                <w:b w:val="1"/>
                <w:sz w:val="14"/>
              </w:rPr>
              <w:t>Within built-up areas - total</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b w:val="1"/>
                <w:sz w:val="16"/>
              </w:rPr>
            </w:pPr>
            <w:r>
              <w:rPr>
                <w:rFonts w:ascii="Arial" w:hAnsi="Arial"/>
                <w:b w:val="1"/>
                <w:sz w:val="16"/>
              </w:rPr>
              <w:t>1965</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b w:val="1"/>
                <w:sz w:val="16"/>
              </w:rPr>
            </w:pPr>
            <w:r>
              <w:rPr>
                <w:rFonts w:ascii="Arial" w:hAnsi="Arial"/>
                <w:b w:val="1"/>
                <w:sz w:val="16"/>
              </w:rPr>
              <w:t>65</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113"/>
              <w:jc w:val="right"/>
              <w:rPr>
                <w:rFonts w:ascii="Arial" w:hAnsi="Arial"/>
                <w:b w:val="1"/>
                <w:sz w:val="16"/>
              </w:rPr>
            </w:pPr>
            <w:r>
              <w:rPr>
                <w:rFonts w:ascii="Arial" w:hAnsi="Arial"/>
                <w:b w:val="1"/>
                <w:sz w:val="16"/>
              </w:rPr>
              <w:t>1900</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b w:val="1"/>
                <w:sz w:val="16"/>
              </w:rPr>
            </w:pPr>
            <w:r>
              <w:rPr>
                <w:rFonts w:ascii="Arial" w:hAnsi="Arial"/>
                <w:b w:val="1"/>
                <w:sz w:val="16"/>
              </w:rPr>
              <w:t>2313</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b w:val="1"/>
                <w:sz w:val="16"/>
              </w:rPr>
            </w:pPr>
            <w:r>
              <w:rPr>
                <w:rFonts w:ascii="Arial" w:hAnsi="Arial"/>
                <w:b w:val="1"/>
                <w:sz w:val="16"/>
              </w:rPr>
              <w:t>72</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b w:val="1"/>
                <w:sz w:val="16"/>
              </w:rPr>
            </w:pPr>
            <w:r>
              <w:rPr>
                <w:rFonts w:ascii="Arial" w:hAnsi="Arial"/>
                <w:b w:val="1"/>
                <w:sz w:val="16"/>
              </w:rPr>
              <w:t>2241</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Street</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1089</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29</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113"/>
              <w:jc w:val="right"/>
              <w:rPr>
                <w:rFonts w:ascii="Arial" w:hAnsi="Arial"/>
                <w:sz w:val="16"/>
              </w:rPr>
            </w:pPr>
            <w:r>
              <w:rPr>
                <w:rFonts w:ascii="Arial" w:hAnsi="Arial"/>
                <w:sz w:val="16"/>
              </w:rPr>
              <w:t>1060</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1249</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37</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1212</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Crossing</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472</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9</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113"/>
              <w:jc w:val="right"/>
              <w:rPr>
                <w:rFonts w:ascii="Arial" w:hAnsi="Arial"/>
                <w:sz w:val="16"/>
              </w:rPr>
            </w:pPr>
            <w:r>
              <w:rPr>
                <w:rFonts w:ascii="Arial" w:hAnsi="Arial"/>
                <w:sz w:val="16"/>
              </w:rPr>
              <w:t>463</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654</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6</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648</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National roads, Class I and Class II within built-up areas</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404</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27</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113"/>
              <w:jc w:val="right"/>
              <w:rPr>
                <w:rFonts w:ascii="Arial" w:hAnsi="Arial"/>
                <w:sz w:val="16"/>
              </w:rPr>
            </w:pPr>
            <w:r>
              <w:rPr>
                <w:rFonts w:ascii="Arial" w:hAnsi="Arial"/>
                <w:sz w:val="16"/>
              </w:rPr>
              <w:t>377</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410</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29</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381</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4"/>
              </w:rPr>
            </w:pPr>
            <w:r>
              <w:rPr>
                <w:rFonts w:ascii="Arial" w:hAnsi="Arial"/>
                <w:b w:val="1"/>
                <w:sz w:val="14"/>
              </w:rPr>
              <w:t>Outside built-up areas - total</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b w:val="1"/>
                <w:sz w:val="16"/>
              </w:rPr>
            </w:pPr>
            <w:r>
              <w:rPr>
                <w:rFonts w:ascii="Arial" w:hAnsi="Arial"/>
                <w:b w:val="1"/>
                <w:sz w:val="16"/>
              </w:rPr>
              <w:t>257</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b w:val="1"/>
                <w:sz w:val="16"/>
              </w:rPr>
            </w:pPr>
            <w:r>
              <w:rPr>
                <w:rFonts w:ascii="Arial" w:hAnsi="Arial"/>
                <w:b w:val="1"/>
                <w:sz w:val="16"/>
              </w:rPr>
              <w:t>18</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113"/>
              <w:jc w:val="right"/>
              <w:rPr>
                <w:rFonts w:ascii="Arial" w:hAnsi="Arial"/>
                <w:b w:val="1"/>
                <w:sz w:val="16"/>
              </w:rPr>
            </w:pPr>
            <w:r>
              <w:rPr>
                <w:rFonts w:ascii="Arial" w:hAnsi="Arial"/>
                <w:b w:val="1"/>
                <w:sz w:val="16"/>
              </w:rPr>
              <w:t>239</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b w:val="1"/>
                <w:sz w:val="16"/>
              </w:rPr>
            </w:pPr>
            <w:r>
              <w:rPr>
                <w:rFonts w:ascii="Arial" w:hAnsi="Arial"/>
                <w:b w:val="1"/>
                <w:sz w:val="16"/>
              </w:rPr>
              <w:t>297</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b w:val="1"/>
                <w:sz w:val="16"/>
              </w:rPr>
            </w:pPr>
            <w:r>
              <w:rPr>
                <w:rFonts w:ascii="Arial" w:hAnsi="Arial"/>
                <w:b w:val="1"/>
                <w:sz w:val="16"/>
              </w:rPr>
              <w:t>26</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b w:val="1"/>
                <w:sz w:val="16"/>
              </w:rPr>
            </w:pPr>
            <w:r>
              <w:rPr>
                <w:rFonts w:ascii="Arial" w:hAnsi="Arial"/>
                <w:b w:val="1"/>
                <w:sz w:val="16"/>
              </w:rPr>
              <w:t>271</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 xml:space="preserve">Crossroads - total </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1</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113"/>
              <w:jc w:val="right"/>
              <w:rPr>
                <w:rFonts w:ascii="Arial" w:hAnsi="Arial"/>
                <w:sz w:val="16"/>
              </w:rPr>
            </w:pPr>
            <w:r>
              <w:rPr>
                <w:rFonts w:ascii="Arial" w:hAnsi="Arial"/>
                <w:sz w:val="16"/>
              </w:rPr>
              <w:t>1</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7</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7</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 xml:space="preserve">  National roads, Class I</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113"/>
              <w:jc w:val="right"/>
              <w:rPr>
                <w:rFonts w:ascii="Arial" w:hAnsi="Arial"/>
                <w:sz w:val="16"/>
              </w:rPr>
            </w:pPr>
            <w:r>
              <w:rPr>
                <w:rFonts w:ascii="Arial" w:hAnsi="Arial"/>
                <w:sz w:val="16"/>
              </w:rPr>
              <w:t>-</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3</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3</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 xml:space="preserve">  National roads, Class II</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1</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113"/>
              <w:jc w:val="right"/>
              <w:rPr>
                <w:rFonts w:ascii="Arial" w:hAnsi="Arial"/>
                <w:sz w:val="16"/>
              </w:rPr>
            </w:pPr>
            <w:r>
              <w:rPr>
                <w:rFonts w:ascii="Arial" w:hAnsi="Arial"/>
                <w:sz w:val="16"/>
              </w:rPr>
              <w:t>1</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4</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4</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 xml:space="preserve">  Provincial (municipal) roads</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113"/>
              <w:jc w:val="right"/>
              <w:rPr>
                <w:rFonts w:ascii="Arial" w:hAnsi="Arial"/>
                <w:sz w:val="16"/>
              </w:rPr>
            </w:pPr>
            <w:r>
              <w:rPr>
                <w:rFonts w:ascii="Arial" w:hAnsi="Arial"/>
                <w:sz w:val="16"/>
              </w:rPr>
              <w:t>-</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Open road-total</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256</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18</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113"/>
              <w:jc w:val="right"/>
              <w:rPr>
                <w:rFonts w:ascii="Arial" w:hAnsi="Arial"/>
                <w:sz w:val="16"/>
              </w:rPr>
            </w:pPr>
            <w:r>
              <w:rPr>
                <w:rFonts w:ascii="Arial" w:hAnsi="Arial"/>
                <w:sz w:val="16"/>
              </w:rPr>
              <w:t>238</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290</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26</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264</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 xml:space="preserve">  National roads, Class I</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107</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4</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113"/>
              <w:jc w:val="right"/>
              <w:rPr>
                <w:rFonts w:ascii="Arial" w:hAnsi="Arial"/>
                <w:sz w:val="16"/>
              </w:rPr>
            </w:pPr>
            <w:r>
              <w:rPr>
                <w:rFonts w:ascii="Arial" w:hAnsi="Arial"/>
                <w:sz w:val="16"/>
              </w:rPr>
              <w:t>103</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126</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13</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113</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 xml:space="preserve">  National roads, Class II</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135</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12</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113"/>
              <w:jc w:val="right"/>
              <w:rPr>
                <w:rFonts w:ascii="Arial" w:hAnsi="Arial"/>
                <w:sz w:val="16"/>
              </w:rPr>
            </w:pPr>
            <w:r>
              <w:rPr>
                <w:rFonts w:ascii="Arial" w:hAnsi="Arial"/>
                <w:sz w:val="16"/>
              </w:rPr>
              <w:t>123</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146</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11</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135</w:t>
            </w:r>
          </w:p>
        </w:tc>
      </w:tr>
      <w:tr>
        <w:trPr>
          <w:wAfter w:w="0" w:type="dxa"/>
        </w:trPr>
        <w:tc>
          <w:tcPr>
            <w:tcW w:w="2665"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4"/>
              </w:rPr>
            </w:pPr>
            <w:r>
              <w:rPr>
                <w:rFonts w:ascii="Arial" w:hAnsi="Arial"/>
                <w:sz w:val="14"/>
              </w:rPr>
              <w:t xml:space="preserve">  Provincial (municipal) roads</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14</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2</w:t>
            </w:r>
          </w:p>
        </w:tc>
        <w:tc>
          <w:tcPr>
            <w:tcW w:w="1191"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113"/>
              <w:jc w:val="right"/>
              <w:rPr>
                <w:rFonts w:ascii="Arial" w:hAnsi="Arial"/>
                <w:sz w:val="16"/>
              </w:rPr>
            </w:pPr>
            <w:r>
              <w:rPr>
                <w:rFonts w:ascii="Arial" w:hAnsi="Arial"/>
                <w:sz w:val="16"/>
              </w:rPr>
              <w:t>12</w:t>
            </w:r>
          </w:p>
        </w:tc>
        <w:tc>
          <w:tcPr>
            <w:tcW w:w="1191"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18</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2</w:t>
            </w:r>
          </w:p>
        </w:tc>
        <w:tc>
          <w:tcPr>
            <w:tcW w:w="1191"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113"/>
              <w:jc w:val="right"/>
              <w:rPr>
                <w:rFonts w:ascii="Arial" w:hAnsi="Arial"/>
                <w:sz w:val="16"/>
              </w:rPr>
            </w:pPr>
            <w:r>
              <w:rPr>
                <w:rFonts w:ascii="Arial" w:hAnsi="Arial"/>
                <w:sz w:val="16"/>
              </w:rPr>
              <w:t>16</w:t>
            </w:r>
          </w:p>
        </w:tc>
      </w:tr>
    </w:tbl>
    <w:p>
      <w:pPr>
        <w:spacing w:lineRule="auto" w:line="252"/>
        <w:rPr>
          <w:rFonts w:ascii="Arial" w:hAnsi="Arial"/>
          <w:sz w:val="14"/>
        </w:rPr>
      </w:pPr>
    </w:p>
    <w:p>
      <w:pPr>
        <w:rPr>
          <w:rFonts w:ascii="Arial" w:hAnsi="Arial"/>
          <w:b w:val="1"/>
          <w:sz w:val="14"/>
          <w:u w:val="single"/>
        </w:rPr>
      </w:pPr>
      <w:r>
        <w:rPr>
          <w:rFonts w:ascii="Arial" w:hAnsi="Arial"/>
          <w:sz w:val="14"/>
        </w:rPr>
        <w:t>Source: Ministry of the Interior of the Republic of Serbia.</w:t>
      </w:r>
    </w:p>
    <w:p>
      <w:pPr>
        <w:rPr>
          <w:rFonts w:ascii="Arial" w:hAnsi="Arial"/>
          <w:sz w:val="14"/>
        </w:rPr>
      </w:pPr>
      <w:r>
        <w:rPr>
          <w:rFonts w:ascii="Arial" w:hAnsi="Arial"/>
          <w:sz w:val="14"/>
          <w:vertAlign w:val="superscript"/>
        </w:rPr>
        <w:t>1)</w:t>
      </w:r>
      <w:r>
        <w:rPr>
          <w:rFonts w:ascii="Arial" w:hAnsi="Arial"/>
          <w:sz w:val="14"/>
        </w:rPr>
        <w:t xml:space="preserve">  Without data for Kosovo and Metohia.</w:t>
      </w:r>
    </w:p>
    <w:p>
      <w:pPr>
        <w:spacing w:lineRule="auto" w:line="252" w:after="60"/>
        <w:ind w:left="357"/>
        <w:rPr>
          <w:rFonts w:ascii="Arial" w:hAnsi="Arial"/>
          <w:b w:val="1"/>
          <w:sz w:val="40"/>
        </w:rPr>
      </w:pPr>
    </w:p>
    <w:p>
      <w:pPr>
        <w:spacing w:after="60"/>
        <w:rPr>
          <w:rFonts w:ascii="Arial" w:hAnsi="Arial"/>
          <w:b w:val="1"/>
          <w:sz w:val="20"/>
        </w:rPr>
      </w:pPr>
      <w:r>
        <w:rPr>
          <w:rFonts w:ascii="Arial" w:hAnsi="Arial"/>
          <w:b w:val="1"/>
          <w:sz w:val="20"/>
        </w:rPr>
        <w:t xml:space="preserve">6. </w:t>
      </w:r>
      <w:r>
        <w:rPr>
          <w:rFonts w:ascii="Arial" w:hAnsi="Arial"/>
          <w:b w:val="1"/>
          <w:sz w:val="20"/>
        </w:rPr>
        <w:t>Number of casualties</w:t>
      </w:r>
      <w:r>
        <w:rPr>
          <w:rFonts w:ascii="Arial" w:hAnsi="Arial"/>
          <w:b w:val="1"/>
          <w:sz w:val="20"/>
          <w:vertAlign w:val="superscript"/>
        </w:rPr>
        <w:t>1)</w:t>
      </w:r>
    </w:p>
    <w:tbl>
      <w:tblPr>
        <w:tblStyle w:val="T3"/>
        <w:tblW w:w="0" w:type="auto"/>
        <w:jc w:val="center"/>
        <w:tblLayout w:type="autofit"/>
        <w:tblCellMar>
          <w:left w:w="28" w:type="dxa"/>
          <w:right w:w="28" w:type="dxa"/>
        </w:tblCellMar>
      </w:tblPr>
      <w:tblGrid/>
      <w:tr>
        <w:trPr>
          <w:wAfter w:w="0" w:type="dxa"/>
        </w:trPr>
        <w:tc>
          <w:tcPr>
            <w:tcW w:w="2266" w:type="dxa"/>
            <w:vMerge w:val="restart"/>
            <w:tcBorders>
              <w:top w:val="single" w:sz="4" w:space="0" w:shadow="0" w:frame="0"/>
              <w:left w:val="none" w:sz="0" w:space="0" w:shadow="0" w:frame="0"/>
              <w:bottom w:val="single" w:sz="4" w:space="0" w:shadow="0" w:frame="0"/>
              <w:right w:val="single" w:sz="4" w:space="0" w:shadow="0" w:frame="0"/>
            </w:tcBorders>
            <w:vAlign w:val="center"/>
          </w:tcPr>
          <w:p>
            <w:pPr>
              <w:spacing w:lineRule="auto" w:line="252"/>
              <w:jc w:val="center"/>
              <w:rPr>
                <w:rFonts w:ascii="Arial" w:hAnsi="Arial"/>
                <w:sz w:val="16"/>
              </w:rPr>
            </w:pPr>
            <w:r>
              <w:rPr>
                <w:rFonts w:ascii="Arial" w:hAnsi="Arial"/>
                <w:sz w:val="16"/>
              </w:rPr>
              <w:t>Location of accidents</w:t>
            </w:r>
          </w:p>
        </w:tc>
        <w:tc>
          <w:tcPr>
            <w:tcW w:w="3829" w:type="dxa"/>
            <w:gridSpan w:val="5"/>
            <w:tcBorders>
              <w:left w:val="single" w:sz="4" w:space="0" w:shadow="0" w:frame="0"/>
              <w:bottom w:val="single" w:sz="4" w:space="0" w:shadow="0" w:frame="0"/>
            </w:tcBorders>
            <w:vAlign w:val="center"/>
          </w:tcPr>
          <w:p>
            <w:pPr>
              <w:spacing w:before="120" w:after="120"/>
              <w:jc w:val="center"/>
              <w:rPr>
                <w:rFonts w:ascii="Arial" w:hAnsi="Arial"/>
                <w:sz w:val="16"/>
              </w:rPr>
            </w:pPr>
            <w:r>
              <w:rPr>
                <w:rFonts w:ascii="Arial" w:hAnsi="Arial"/>
                <w:sz w:val="16"/>
              </w:rPr>
              <w:t>I quarter 2012</w:t>
            </w:r>
          </w:p>
        </w:tc>
        <w:tc>
          <w:tcPr>
            <w:tcW w:w="3828" w:type="dxa"/>
            <w:gridSpan w:val="5"/>
            <w:tcBorders>
              <w:right w:val="none" w:sz="0" w:space="0" w:shadow="0" w:frame="0"/>
            </w:tcBorders>
            <w:vAlign w:val="center"/>
          </w:tcPr>
          <w:p>
            <w:pPr>
              <w:spacing w:before="120" w:after="120"/>
              <w:jc w:val="center"/>
              <w:rPr>
                <w:rFonts w:ascii="Arial" w:hAnsi="Arial"/>
                <w:sz w:val="16"/>
              </w:rPr>
            </w:pPr>
            <w:r>
              <w:rPr>
                <w:rFonts w:ascii="Arial" w:hAnsi="Arial"/>
                <w:sz w:val="16"/>
              </w:rPr>
              <w:t>I quarter 2013</w:t>
            </w:r>
          </w:p>
        </w:tc>
      </w:tr>
      <w:tr>
        <w:trPr>
          <w:wAfter w:w="0" w:type="dxa"/>
        </w:trPr>
        <w:tc>
          <w:tcPr>
            <w:tcW w:w="2266" w:type="dxa"/>
            <w:vMerge w:val="continue"/>
            <w:tcBorders>
              <w:top w:val="single" w:sz="4" w:space="0" w:shadow="0" w:frame="0"/>
              <w:left w:val="none" w:sz="0" w:space="0" w:shadow="0" w:frame="0"/>
              <w:bottom w:val="single" w:sz="4" w:space="0" w:shadow="0" w:frame="0"/>
              <w:right w:val="single" w:sz="4" w:space="0" w:shadow="0" w:frame="0"/>
            </w:tcBorders>
            <w:vAlign w:val="center"/>
          </w:tcPr>
          <w:p>
            <w:pPr>
              <w:spacing w:lineRule="auto" w:line="252"/>
              <w:jc w:val="center"/>
              <w:rPr>
                <w:rFonts w:ascii="Arial" w:hAnsi="Arial"/>
                <w:sz w:val="16"/>
              </w:rPr>
            </w:pPr>
          </w:p>
        </w:tc>
        <w:tc>
          <w:tcPr>
            <w:tcW w:w="820" w:type="dxa"/>
            <w:tcBorders>
              <w:left w:val="single" w:sz="4" w:space="0" w:shadow="0" w:frame="0"/>
              <w:bottom w:val="single" w:sz="4" w:space="0" w:shadow="0" w:frame="0"/>
            </w:tcBorders>
            <w:vAlign w:val="center"/>
          </w:tcPr>
          <w:p>
            <w:pPr>
              <w:jc w:val="center"/>
              <w:rPr>
                <w:rFonts w:ascii="Arial" w:hAnsi="Arial"/>
                <w:sz w:val="16"/>
              </w:rPr>
            </w:pPr>
            <w:r>
              <w:rPr>
                <w:rFonts w:ascii="Arial" w:hAnsi="Arial"/>
                <w:sz w:val="16"/>
              </w:rPr>
              <w:t xml:space="preserve">Total casualties </w:t>
            </w:r>
          </w:p>
        </w:tc>
        <w:tc>
          <w:tcPr>
            <w:tcW w:w="669" w:type="dxa"/>
            <w:tcBorders>
              <w:bottom w:val="single" w:sz="4" w:space="0" w:shadow="0" w:frame="0"/>
            </w:tcBorders>
            <w:vAlign w:val="center"/>
          </w:tcPr>
          <w:p>
            <w:pPr>
              <w:jc w:val="center"/>
              <w:rPr>
                <w:rFonts w:ascii="Arial" w:hAnsi="Arial"/>
                <w:sz w:val="16"/>
              </w:rPr>
            </w:pPr>
            <w:r>
              <w:rPr>
                <w:rFonts w:ascii="Arial" w:hAnsi="Arial"/>
                <w:sz w:val="16"/>
              </w:rPr>
              <w:t>killed</w:t>
            </w:r>
          </w:p>
        </w:tc>
        <w:tc>
          <w:tcPr>
            <w:tcW w:w="742" w:type="dxa"/>
            <w:tcBorders>
              <w:bottom w:val="single" w:sz="4" w:space="0" w:shadow="0" w:frame="0"/>
            </w:tcBorders>
            <w:vAlign w:val="center"/>
          </w:tcPr>
          <w:p>
            <w:pPr>
              <w:jc w:val="center"/>
              <w:rPr>
                <w:rFonts w:ascii="Arial" w:hAnsi="Arial"/>
                <w:sz w:val="16"/>
              </w:rPr>
            </w:pPr>
            <w:r>
              <w:rPr>
                <w:rFonts w:ascii="Arial" w:hAnsi="Arial"/>
                <w:sz w:val="16"/>
              </w:rPr>
              <w:t>injured</w:t>
            </w:r>
          </w:p>
        </w:tc>
        <w:tc>
          <w:tcPr>
            <w:tcW w:w="748" w:type="dxa"/>
            <w:tcBorders>
              <w:bottom w:val="single" w:sz="4" w:space="0" w:shadow="0" w:frame="0"/>
            </w:tcBorders>
            <w:vAlign w:val="center"/>
          </w:tcPr>
          <w:p>
            <w:pPr>
              <w:jc w:val="center"/>
              <w:rPr>
                <w:rFonts w:ascii="Arial" w:hAnsi="Arial"/>
                <w:sz w:val="16"/>
              </w:rPr>
            </w:pPr>
            <w:r>
              <w:rPr>
                <w:rStyle w:val="C6"/>
                <w:rFonts w:ascii="Arial" w:hAnsi="Arial"/>
                <w:sz w:val="16"/>
              </w:rPr>
              <w:t xml:space="preserve">seriously </w:t>
            </w:r>
            <w:r>
              <w:rPr>
                <w:rFonts w:ascii="Arial" w:hAnsi="Arial"/>
                <w:sz w:val="16"/>
              </w:rPr>
              <w:t xml:space="preserve">injured </w:t>
            </w:r>
          </w:p>
        </w:tc>
        <w:tc>
          <w:tcPr>
            <w:tcW w:w="850" w:type="dxa"/>
            <w:tcBorders>
              <w:bottom w:val="single" w:sz="4" w:space="0" w:shadow="0" w:frame="0"/>
            </w:tcBorders>
            <w:vAlign w:val="center"/>
          </w:tcPr>
          <w:p>
            <w:pPr>
              <w:jc w:val="center"/>
              <w:rPr>
                <w:rFonts w:ascii="Arial" w:hAnsi="Arial"/>
                <w:sz w:val="16"/>
              </w:rPr>
            </w:pPr>
            <w:r>
              <w:rPr>
                <w:rFonts w:ascii="Arial" w:hAnsi="Arial"/>
                <w:sz w:val="16"/>
              </w:rPr>
              <w:t xml:space="preserve">slightly injured </w:t>
            </w:r>
          </w:p>
        </w:tc>
        <w:tc>
          <w:tcPr>
            <w:tcW w:w="819" w:type="dxa"/>
            <w:tcBorders>
              <w:bottom w:val="single" w:sz="4" w:space="0" w:shadow="0" w:frame="0"/>
            </w:tcBorders>
            <w:vAlign w:val="center"/>
          </w:tcPr>
          <w:p>
            <w:pPr>
              <w:jc w:val="center"/>
              <w:rPr>
                <w:rFonts w:ascii="Arial" w:hAnsi="Arial"/>
                <w:sz w:val="16"/>
              </w:rPr>
            </w:pPr>
            <w:r>
              <w:rPr>
                <w:rFonts w:ascii="Arial" w:hAnsi="Arial"/>
                <w:sz w:val="16"/>
              </w:rPr>
              <w:t xml:space="preserve">Total casualties </w:t>
            </w:r>
          </w:p>
        </w:tc>
        <w:tc>
          <w:tcPr>
            <w:tcW w:w="669" w:type="dxa"/>
            <w:tcBorders>
              <w:bottom w:val="single" w:sz="4" w:space="0" w:shadow="0" w:frame="0"/>
            </w:tcBorders>
            <w:vAlign w:val="center"/>
          </w:tcPr>
          <w:p>
            <w:pPr>
              <w:jc w:val="center"/>
              <w:rPr>
                <w:rFonts w:ascii="Arial" w:hAnsi="Arial"/>
                <w:sz w:val="16"/>
              </w:rPr>
            </w:pPr>
            <w:r>
              <w:rPr>
                <w:rFonts w:ascii="Arial" w:hAnsi="Arial"/>
                <w:sz w:val="16"/>
              </w:rPr>
              <w:t>killed</w:t>
            </w:r>
          </w:p>
        </w:tc>
        <w:tc>
          <w:tcPr>
            <w:tcW w:w="742" w:type="dxa"/>
            <w:tcBorders>
              <w:bottom w:val="single" w:sz="4" w:space="0" w:shadow="0" w:frame="0"/>
            </w:tcBorders>
            <w:vAlign w:val="center"/>
          </w:tcPr>
          <w:p>
            <w:pPr>
              <w:jc w:val="center"/>
              <w:rPr>
                <w:rFonts w:ascii="Arial" w:hAnsi="Arial"/>
                <w:sz w:val="16"/>
              </w:rPr>
            </w:pPr>
            <w:r>
              <w:rPr>
                <w:rFonts w:ascii="Arial" w:hAnsi="Arial"/>
                <w:sz w:val="16"/>
              </w:rPr>
              <w:t>injured</w:t>
            </w:r>
          </w:p>
        </w:tc>
        <w:tc>
          <w:tcPr>
            <w:tcW w:w="748" w:type="dxa"/>
            <w:tcBorders>
              <w:bottom w:val="single" w:sz="4" w:space="0" w:shadow="0" w:frame="0"/>
            </w:tcBorders>
            <w:vAlign w:val="center"/>
          </w:tcPr>
          <w:p>
            <w:pPr>
              <w:jc w:val="center"/>
              <w:rPr>
                <w:rFonts w:ascii="Arial" w:hAnsi="Arial"/>
                <w:sz w:val="16"/>
              </w:rPr>
            </w:pPr>
            <w:r>
              <w:rPr>
                <w:rStyle w:val="C6"/>
                <w:rFonts w:ascii="Arial" w:hAnsi="Arial"/>
                <w:sz w:val="16"/>
              </w:rPr>
              <w:t xml:space="preserve">seriously </w:t>
            </w:r>
            <w:r>
              <w:rPr>
                <w:rFonts w:ascii="Arial" w:hAnsi="Arial"/>
                <w:sz w:val="16"/>
              </w:rPr>
              <w:t>injured</w:t>
            </w:r>
          </w:p>
        </w:tc>
        <w:tc>
          <w:tcPr>
            <w:tcW w:w="850" w:type="dxa"/>
            <w:tcBorders>
              <w:bottom w:val="single" w:sz="4" w:space="0" w:shadow="0" w:frame="0"/>
              <w:right w:val="none" w:sz="0" w:space="0" w:shadow="0" w:frame="0"/>
            </w:tcBorders>
            <w:vAlign w:val="center"/>
          </w:tcPr>
          <w:p>
            <w:pPr>
              <w:jc w:val="center"/>
              <w:rPr>
                <w:rFonts w:ascii="Arial" w:hAnsi="Arial"/>
                <w:sz w:val="16"/>
              </w:rPr>
            </w:pPr>
            <w:r>
              <w:rPr>
                <w:rFonts w:ascii="Arial" w:hAnsi="Arial"/>
                <w:sz w:val="16"/>
              </w:rPr>
              <w:t>slightly injured</w:t>
            </w:r>
          </w:p>
        </w:tc>
      </w:tr>
      <w:tr>
        <w:trPr>
          <w:wAfter w:w="0" w:type="dxa"/>
        </w:trPr>
        <w:tc>
          <w:tcPr>
            <w:tcW w:w="2266"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52"/>
              <w:rPr>
                <w:rFonts w:ascii="Arial" w:hAnsi="Arial"/>
                <w:b w:val="1"/>
                <w:sz w:val="16"/>
              </w:rPr>
            </w:pPr>
          </w:p>
        </w:tc>
        <w:tc>
          <w:tcPr>
            <w:tcW w:w="820"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669"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742"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748"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850" w:type="dxa"/>
            <w:tcBorders>
              <w:top w:val="single" w:sz="4" w:space="0" w:shadow="0" w:frame="0"/>
              <w:left w:val="none" w:sz="0" w:space="0" w:shadow="0" w:frame="0"/>
              <w:bottom w:val="none" w:sz="0" w:space="0" w:shadow="0" w:frame="0"/>
              <w:right w:val="single" w:sz="4" w:space="0" w:shadow="0" w:frame="0"/>
            </w:tcBorders>
            <w:vAlign w:val="bottom"/>
          </w:tcPr>
          <w:p>
            <w:pPr>
              <w:spacing w:lineRule="auto" w:line="252"/>
              <w:jc w:val="right"/>
              <w:rPr>
                <w:rFonts w:ascii="Arial" w:hAnsi="Arial"/>
                <w:b w:val="1"/>
                <w:sz w:val="16"/>
              </w:rPr>
            </w:pPr>
          </w:p>
        </w:tc>
        <w:tc>
          <w:tcPr>
            <w:tcW w:w="819" w:type="dxa"/>
            <w:tcBorders>
              <w:top w:val="single" w:sz="4" w:space="0" w:shadow="0" w:frame="0"/>
              <w:left w:val="single" w:sz="4"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669"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742"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748"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c>
          <w:tcPr>
            <w:tcW w:w="850" w:type="dxa"/>
            <w:tcBorders>
              <w:top w:val="single" w:sz="4" w:space="0" w:shadow="0" w:frame="0"/>
              <w:left w:val="none" w:sz="0" w:space="0" w:shadow="0" w:frame="0"/>
              <w:bottom w:val="none" w:sz="0" w:space="0" w:shadow="0" w:frame="0"/>
              <w:right w:val="none" w:sz="0" w:space="0" w:shadow="0" w:frame="0"/>
            </w:tcBorders>
            <w:vAlign w:val="bottom"/>
          </w:tcPr>
          <w:p>
            <w:pPr>
              <w:spacing w:lineRule="auto" w:line="252"/>
              <w:jc w:val="right"/>
              <w:rPr>
                <w:rFonts w:ascii="Arial" w:hAnsi="Arial"/>
                <w:b w:val="1"/>
                <w:sz w:val="16"/>
              </w:rPr>
            </w:pP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Total</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57"/>
              <w:jc w:val="right"/>
              <w:rPr>
                <w:rFonts w:ascii="Arial" w:hAnsi="Arial"/>
                <w:b w:val="1"/>
                <w:sz w:val="16"/>
              </w:rPr>
            </w:pPr>
            <w:r>
              <w:rPr>
                <w:rFonts w:ascii="Arial" w:hAnsi="Arial"/>
                <w:b w:val="1"/>
                <w:sz w:val="16"/>
              </w:rPr>
              <w:t>3261</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b w:val="1"/>
                <w:sz w:val="16"/>
              </w:rPr>
            </w:pPr>
            <w:r>
              <w:rPr>
                <w:rFonts w:ascii="Arial" w:hAnsi="Arial"/>
                <w:b w:val="1"/>
                <w:sz w:val="16"/>
              </w:rPr>
              <w:t>97</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b w:val="1"/>
                <w:sz w:val="16"/>
              </w:rPr>
            </w:pPr>
            <w:r>
              <w:rPr>
                <w:rFonts w:ascii="Arial" w:hAnsi="Arial"/>
                <w:b w:val="1"/>
                <w:sz w:val="16"/>
              </w:rPr>
              <w:t>3164</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b w:val="1"/>
                <w:sz w:val="16"/>
              </w:rPr>
            </w:pPr>
            <w:r>
              <w:rPr>
                <w:rFonts w:ascii="Arial" w:hAnsi="Arial"/>
                <w:b w:val="1"/>
                <w:sz w:val="16"/>
              </w:rPr>
              <w:t>560</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b w:val="1"/>
                <w:sz w:val="16"/>
              </w:rPr>
            </w:pPr>
            <w:r>
              <w:rPr>
                <w:rFonts w:ascii="Arial" w:hAnsi="Arial"/>
                <w:b w:val="1"/>
                <w:sz w:val="16"/>
              </w:rPr>
              <w:t>2604</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57"/>
              <w:jc w:val="right"/>
              <w:rPr>
                <w:rFonts w:ascii="Arial" w:hAnsi="Arial"/>
                <w:b w:val="1"/>
                <w:sz w:val="16"/>
              </w:rPr>
            </w:pPr>
            <w:r>
              <w:rPr>
                <w:rFonts w:ascii="Arial" w:hAnsi="Arial"/>
                <w:b w:val="1"/>
                <w:sz w:val="16"/>
              </w:rPr>
              <w:t>3752</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b w:val="1"/>
                <w:sz w:val="16"/>
              </w:rPr>
            </w:pPr>
            <w:r>
              <w:rPr>
                <w:rFonts w:ascii="Arial" w:hAnsi="Arial"/>
                <w:b w:val="1"/>
                <w:sz w:val="16"/>
              </w:rPr>
              <w:t>107</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b w:val="1"/>
                <w:sz w:val="16"/>
              </w:rPr>
            </w:pPr>
            <w:r>
              <w:rPr>
                <w:rFonts w:ascii="Arial" w:hAnsi="Arial"/>
                <w:b w:val="1"/>
                <w:sz w:val="16"/>
              </w:rPr>
              <w:t>3645</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b w:val="1"/>
                <w:sz w:val="16"/>
              </w:rPr>
            </w:pPr>
            <w:r>
              <w:rPr>
                <w:rFonts w:ascii="Arial" w:hAnsi="Arial"/>
                <w:b w:val="1"/>
                <w:sz w:val="16"/>
              </w:rPr>
              <w:t>582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b w:val="1"/>
                <w:sz w:val="16"/>
              </w:rPr>
            </w:pPr>
            <w:r>
              <w:rPr>
                <w:rFonts w:ascii="Arial" w:hAnsi="Arial"/>
                <w:b w:val="1"/>
                <w:sz w:val="16"/>
              </w:rPr>
              <w:t>3063</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Within built-up areas - total</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2804</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79</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2725</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473</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6"/>
              </w:rPr>
            </w:pPr>
            <w:r>
              <w:rPr>
                <w:rFonts w:ascii="Arial" w:hAnsi="Arial"/>
                <w:sz w:val="16"/>
              </w:rPr>
              <w:t>2252</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3229</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79</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3150</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492</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2658</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Street</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1453</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33</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1420</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263</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6"/>
              </w:rPr>
            </w:pPr>
            <w:r>
              <w:rPr>
                <w:rFonts w:ascii="Arial" w:hAnsi="Arial"/>
                <w:sz w:val="16"/>
              </w:rPr>
              <w:t>1157</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1664</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40</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1624</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281</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1343</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Crossing</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709</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9</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700</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79</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6"/>
              </w:rPr>
            </w:pPr>
            <w:r>
              <w:rPr>
                <w:rFonts w:ascii="Arial" w:hAnsi="Arial"/>
                <w:sz w:val="16"/>
              </w:rPr>
              <w:t>621</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909</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7</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902</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94</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808</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National roads, Class I and Class II within built-up areas</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642</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37</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605</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131</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6"/>
              </w:rPr>
            </w:pPr>
            <w:r>
              <w:rPr>
                <w:rFonts w:ascii="Arial" w:hAnsi="Arial"/>
                <w:sz w:val="16"/>
              </w:rPr>
              <w:t>474</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656</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32</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624</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117</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507</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b w:val="1"/>
                <w:sz w:val="16"/>
              </w:rPr>
            </w:pPr>
            <w:r>
              <w:rPr>
                <w:rFonts w:ascii="Arial" w:hAnsi="Arial"/>
                <w:b w:val="1"/>
                <w:sz w:val="16"/>
              </w:rPr>
              <w:t>Outside built-up areas - total</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457</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18</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439</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87</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6"/>
              </w:rPr>
            </w:pPr>
            <w:r>
              <w:rPr>
                <w:rFonts w:ascii="Arial" w:hAnsi="Arial"/>
                <w:sz w:val="16"/>
              </w:rPr>
              <w:t>352</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523</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28</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495</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90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405</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Crossroads - total </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1</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1</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6"/>
              </w:rPr>
            </w:pPr>
            <w:r>
              <w:rPr>
                <w:rFonts w:ascii="Arial" w:hAnsi="Arial"/>
                <w:sz w:val="16"/>
              </w:rPr>
              <w:t>1</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14</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14</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14</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National roads, Class I</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6"/>
              </w:rPr>
            </w:pPr>
            <w:r>
              <w:rPr>
                <w:rFonts w:ascii="Arial" w:hAnsi="Arial"/>
                <w:sz w:val="16"/>
              </w:rPr>
              <w:t>-</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5</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5</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5</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National roads, Class II</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1</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1</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6"/>
              </w:rPr>
            </w:pPr>
            <w:r>
              <w:rPr>
                <w:rFonts w:ascii="Arial" w:hAnsi="Arial"/>
                <w:sz w:val="16"/>
              </w:rPr>
              <w:t>1</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9</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9</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9</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Provincial (municipal) roads</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6"/>
              </w:rPr>
            </w:pPr>
            <w:r>
              <w:rPr>
                <w:rFonts w:ascii="Arial" w:hAnsi="Arial"/>
                <w:sz w:val="16"/>
              </w:rPr>
              <w:t>-</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Open road-total</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456</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18</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438</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87</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6"/>
              </w:rPr>
            </w:pPr>
            <w:r>
              <w:rPr>
                <w:rFonts w:ascii="Arial" w:hAnsi="Arial"/>
                <w:sz w:val="16"/>
              </w:rPr>
              <w:t>351</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509</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28</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481</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90</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391</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National roads, Class I</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205</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4</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201</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41</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6"/>
              </w:rPr>
            </w:pPr>
            <w:r>
              <w:rPr>
                <w:rFonts w:ascii="Arial" w:hAnsi="Arial"/>
                <w:sz w:val="16"/>
              </w:rPr>
              <w:t>160</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227</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13</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214</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48</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166</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National roads, Class II</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224</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12</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212</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42</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6"/>
              </w:rPr>
            </w:pPr>
            <w:r>
              <w:rPr>
                <w:rFonts w:ascii="Arial" w:hAnsi="Arial"/>
                <w:sz w:val="16"/>
              </w:rPr>
              <w:t>170</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258</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13</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245</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39</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206</w:t>
            </w:r>
          </w:p>
        </w:tc>
      </w:tr>
      <w:tr>
        <w:trPr>
          <w:wAfter w:w="0" w:type="dxa"/>
        </w:trPr>
        <w:tc>
          <w:tcPr>
            <w:tcW w:w="2266" w:type="dxa"/>
            <w:tcBorders>
              <w:top w:val="none" w:sz="0" w:space="0" w:shadow="0" w:frame="0"/>
              <w:left w:val="none" w:sz="0" w:space="0" w:shadow="0" w:frame="0"/>
              <w:bottom w:val="none" w:sz="0" w:space="0" w:shadow="0" w:frame="0"/>
              <w:right w:val="single" w:sz="4" w:space="0" w:shadow="0" w:frame="0"/>
            </w:tcBorders>
            <w:vAlign w:val="bottom"/>
          </w:tcPr>
          <w:p>
            <w:pPr>
              <w:rPr>
                <w:rFonts w:ascii="Arial" w:hAnsi="Arial"/>
                <w:sz w:val="16"/>
              </w:rPr>
            </w:pPr>
            <w:r>
              <w:rPr>
                <w:rFonts w:ascii="Arial" w:hAnsi="Arial"/>
                <w:sz w:val="16"/>
              </w:rPr>
              <w:t xml:space="preserve">  Provincial (municipal) roads</w:t>
            </w:r>
          </w:p>
        </w:tc>
        <w:tc>
          <w:tcPr>
            <w:tcW w:w="820"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27</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2</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25</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4</w:t>
            </w:r>
          </w:p>
        </w:tc>
        <w:tc>
          <w:tcPr>
            <w:tcW w:w="850" w:type="dxa"/>
            <w:tcBorders>
              <w:top w:val="none" w:sz="0" w:space="0" w:shadow="0" w:frame="0"/>
              <w:left w:val="none" w:sz="0" w:space="0" w:shadow="0" w:frame="0"/>
              <w:bottom w:val="none" w:sz="0" w:space="0" w:shadow="0" w:frame="0"/>
              <w:right w:val="single" w:sz="4" w:space="0" w:shadow="0" w:frame="0"/>
            </w:tcBorders>
            <w:vAlign w:val="bottom"/>
          </w:tcPr>
          <w:p>
            <w:pPr>
              <w:spacing w:lineRule="auto" w:line="252"/>
              <w:ind w:right="57"/>
              <w:jc w:val="right"/>
              <w:rPr>
                <w:rFonts w:ascii="Arial" w:hAnsi="Arial"/>
                <w:sz w:val="16"/>
              </w:rPr>
            </w:pPr>
            <w:r>
              <w:rPr>
                <w:rFonts w:ascii="Arial" w:hAnsi="Arial"/>
                <w:sz w:val="16"/>
              </w:rPr>
              <w:t>21</w:t>
            </w:r>
          </w:p>
        </w:tc>
        <w:tc>
          <w:tcPr>
            <w:tcW w:w="819" w:type="dxa"/>
            <w:tcBorders>
              <w:top w:val="none" w:sz="0" w:space="0" w:shadow="0" w:frame="0"/>
              <w:left w:val="single" w:sz="4"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24</w:t>
            </w:r>
          </w:p>
        </w:tc>
        <w:tc>
          <w:tcPr>
            <w:tcW w:w="669"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2</w:t>
            </w:r>
          </w:p>
        </w:tc>
        <w:tc>
          <w:tcPr>
            <w:tcW w:w="742"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22</w:t>
            </w:r>
          </w:p>
        </w:tc>
        <w:tc>
          <w:tcPr>
            <w:tcW w:w="748"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3</w:t>
            </w:r>
          </w:p>
        </w:tc>
        <w:tc>
          <w:tcPr>
            <w:tcW w:w="850" w:type="dxa"/>
            <w:tcBorders>
              <w:top w:val="none" w:sz="0" w:space="0" w:shadow="0" w:frame="0"/>
              <w:left w:val="none" w:sz="0" w:space="0" w:shadow="0" w:frame="0"/>
              <w:bottom w:val="none" w:sz="0" w:space="0" w:shadow="0" w:frame="0"/>
              <w:right w:val="none" w:sz="0" w:space="0" w:shadow="0" w:frame="0"/>
            </w:tcBorders>
            <w:vAlign w:val="bottom"/>
          </w:tcPr>
          <w:p>
            <w:pPr>
              <w:spacing w:lineRule="auto" w:line="252"/>
              <w:ind w:right="57"/>
              <w:jc w:val="right"/>
              <w:rPr>
                <w:rFonts w:ascii="Arial" w:hAnsi="Arial"/>
                <w:sz w:val="16"/>
              </w:rPr>
            </w:pPr>
            <w:r>
              <w:rPr>
                <w:rFonts w:ascii="Arial" w:hAnsi="Arial"/>
                <w:sz w:val="16"/>
              </w:rPr>
              <w:t>19</w:t>
            </w:r>
          </w:p>
        </w:tc>
      </w:tr>
    </w:tbl>
    <w:p>
      <w:pPr>
        <w:spacing w:lineRule="auto" w:line="252"/>
        <w:rPr>
          <w:rFonts w:ascii="Arial" w:hAnsi="Arial"/>
          <w:sz w:val="14"/>
        </w:rPr>
      </w:pPr>
    </w:p>
    <w:p>
      <w:pPr>
        <w:rPr>
          <w:rFonts w:ascii="Arial" w:hAnsi="Arial"/>
          <w:b w:val="1"/>
          <w:sz w:val="14"/>
          <w:u w:val="single"/>
        </w:rPr>
      </w:pPr>
      <w:r>
        <w:rPr>
          <w:rFonts w:ascii="Arial" w:hAnsi="Arial"/>
          <w:sz w:val="14"/>
        </w:rPr>
        <w:t>Source: Ministry of the Interior of the Republic of Serbia.</w:t>
      </w:r>
    </w:p>
    <w:p>
      <w:pPr>
        <w:rPr>
          <w:rFonts w:ascii="Arial" w:hAnsi="Arial"/>
          <w:sz w:val="14"/>
        </w:rPr>
      </w:pPr>
      <w:r>
        <w:rPr>
          <w:rFonts w:ascii="Arial" w:hAnsi="Arial"/>
          <w:sz w:val="14"/>
          <w:vertAlign w:val="superscript"/>
        </w:rPr>
        <w:t>1)</w:t>
      </w:r>
      <w:r>
        <w:rPr>
          <w:rFonts w:ascii="Arial" w:hAnsi="Arial"/>
          <w:sz w:val="14"/>
        </w:rPr>
        <w:t xml:space="preserve">  Without data for Kosovo and Metohia.</w:t>
      </w: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p>
      <w:pPr>
        <w:pStyle w:val="P13"/>
        <w:rPr>
          <w:sz w:val="20"/>
        </w:rPr>
      </w:pPr>
    </w:p>
    <w:tbl>
      <w:tblPr>
        <w:tblStyle w:val="T3"/>
        <w:tblW w:w="0" w:type="auto"/>
        <w:jc w:val="center"/>
        <w:tblBorders>
          <w:top w:val="none" w:sz="0" w:space="0" w:shadow="0" w:frame="0"/>
          <w:left w:val="none" w:sz="0" w:space="0" w:shadow="0" w:frame="0"/>
          <w:bottom w:val="single" w:sz="4" w:space="0" w:shadow="0" w:frame="0" w:color="808080"/>
          <w:right w:val="none" w:sz="0" w:space="0" w:shadow="0" w:frame="0"/>
          <w:insideH w:val="none" w:sz="0" w:space="0" w:shadow="0" w:frame="0"/>
          <w:insideV w:val="none" w:sz="0" w:space="0" w:shadow="0" w:frame="0"/>
        </w:tblBorders>
        <w:tblLayout w:type="autofit"/>
        <w:tblCellMar>
          <w:left w:w="28" w:type="dxa"/>
          <w:right w:w="28" w:type="dxa"/>
        </w:tblCellMar>
      </w:tblPr>
      <w:tblGrid/>
      <w:tr>
        <w:trPr>
          <w:wAfter w:w="0" w:type="dxa"/>
          <w:trHeight w:hRule="atLeast" w:val="60"/>
        </w:trPr>
        <w:tc>
          <w:tcPr>
            <w:tcW w:w="9639" w:type="dxa"/>
          </w:tcPr>
          <w:p>
            <w:pPr>
              <w:jc w:val="both"/>
              <w:rPr>
                <w:rFonts w:ascii="Arial" w:hAnsi="Arial"/>
                <w:sz w:val="2"/>
              </w:rPr>
            </w:pPr>
          </w:p>
        </w:tc>
      </w:tr>
    </w:tbl>
    <w:p>
      <w:pPr>
        <w:spacing w:before="120"/>
        <w:jc w:val="center"/>
        <w:rPr>
          <w:rFonts w:ascii="Arial" w:hAnsi="Arial"/>
          <w:sz w:val="18"/>
        </w:rPr>
      </w:pPr>
      <w:r>
        <w:rPr>
          <w:rFonts w:ascii="Arial" w:hAnsi="Arial"/>
          <w:sz w:val="18"/>
        </w:rPr>
        <w:t>Contact:</w:t>
      </w:r>
      <w:r>
        <w:rPr>
          <w:i w:val="1"/>
          <w:sz w:val="18"/>
        </w:rPr>
        <w:t xml:space="preserve">  </w:t>
      </w:r>
      <w:r>
        <w:rPr>
          <w:rFonts w:ascii="Arial" w:hAnsi="Arial"/>
          <w:color w:val="0000FF"/>
          <w:sz w:val="18"/>
        </w:rPr>
        <w:t>daliborka.vujin@stat.gov.rs</w:t>
      </w:r>
      <w:r>
        <w:rPr>
          <w:rFonts w:ascii="Arial" w:hAnsi="Arial"/>
          <w:sz w:val="18"/>
        </w:rPr>
        <w:t xml:space="preserve">  phone: +381 11 3617-321</w:t>
      </w:r>
    </w:p>
    <w:p>
      <w:pPr>
        <w:ind w:left="198" w:right="29"/>
        <w:jc w:val="center"/>
        <w:rPr>
          <w:rFonts w:ascii="Arial" w:hAnsi="Arial"/>
          <w:sz w:val="18"/>
        </w:rPr>
      </w:pPr>
      <w:r>
        <w:rPr>
          <w:rFonts w:ascii="Arial" w:hAnsi="Arial"/>
          <w:sz w:val="18"/>
        </w:rPr>
        <w:t xml:space="preserve">Published and printed by: Statistical Office of the Republic of Serbia, Milana Rakica 5, Belgrade </w:t>
      </w:r>
    </w:p>
    <w:p>
      <w:pPr>
        <w:ind w:left="198" w:right="29"/>
        <w:jc w:val="center"/>
        <w:rPr>
          <w:rFonts w:ascii="Arial" w:hAnsi="Arial"/>
          <w:sz w:val="18"/>
        </w:rPr>
      </w:pPr>
      <w:r>
        <w:rPr>
          <w:rFonts w:ascii="Arial" w:hAnsi="Arial"/>
          <w:sz w:val="18"/>
        </w:rPr>
        <w:t xml:space="preserve">Phone: +381 11 2412922 ● Fax: +381 11 2411260 ● www.stat.gov.rs </w:t>
      </w:r>
    </w:p>
    <w:p>
      <w:pPr>
        <w:ind w:left="198" w:right="29"/>
        <w:jc w:val="center"/>
        <w:rPr>
          <w:sz w:val="18"/>
        </w:rPr>
      </w:pPr>
      <w:r>
        <w:rPr>
          <w:rFonts w:ascii="Arial" w:hAnsi="Arial"/>
          <w:sz w:val="18"/>
        </w:rPr>
        <w:t>Responsible: Dragan Vukmirovic, PhD, Director</w:t>
        <w:br w:type="textWrapping"/>
        <w:t>Circulation: 20 • Issued quarterly</w:t>
      </w:r>
    </w:p>
    <w:p>
      <w:pPr>
        <w:spacing w:after="60"/>
        <w:ind w:left="357"/>
        <w:rPr>
          <w:rFonts w:ascii="Arial" w:hAnsi="Arial"/>
          <w:b w:val="1"/>
          <w:sz w:val="20"/>
        </w:rPr>
      </w:pPr>
    </w:p>
    <w:sectPr>
      <w:footerReference xmlns:r="http://schemas.openxmlformats.org/officeDocument/2006/relationships" w:type="default" r:id="RelFtr1"/>
      <w:footerReference xmlns:r="http://schemas.openxmlformats.org/officeDocument/2006/relationships" w:type="even" r:id="RelFtr2"/>
      <w:footnotePr>
        <w:pos w:val="beneathText"/>
      </w:footnotePr>
      <w:type w:val="nextPage"/>
      <w:pgSz w:w="11909" w:h="16834" w:code="0"/>
      <w:pgMar w:left="1021" w:right="1021" w:top="1021" w:bottom="1021" w:header="720" w:footer="720"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6"/>
      <w:pBdr>
        <w:top w:val="single" w:sz="4" w:space="0" w:shadow="0" w:frame="0"/>
      </w:pBdr>
      <w:rPr>
        <w:rFonts w:ascii="Arial" w:hAnsi="Arial"/>
        <w:sz w:val="16"/>
      </w:rPr>
    </w:pPr>
    <w:r>
      <w:rPr>
        <w:rFonts w:ascii="Arial" w:hAnsi="Arial"/>
        <w:sz w:val="16"/>
      </w:rPr>
      <w:t>SERB141 SV22 310513</w:t>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16" w:y="1"/>
      <w:rPr>
        <w:rStyle w:val="C4"/>
        <w:rFonts w:ascii="Arial" w:hAnsi="Arial"/>
        <w:sz w:val="16"/>
      </w:rPr>
    </w:pPr>
    <w:r>
      <w:fldChar w:fldCharType="begin"/>
    </w:r>
    <w:r>
      <w:rPr>
        <w:rStyle w:val="C4"/>
        <w:rFonts w:ascii="Arial" w:hAnsi="Arial"/>
        <w:sz w:val="16"/>
      </w:rPr>
      <w:instrText xml:space="preserve">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p>
    <w:pPr>
      <w:pStyle w:val="P16"/>
      <w:pBdr>
        <w:top w:val="single" w:sz="4" w:space="0" w:shadow="0" w:frame="0"/>
      </w:pBdr>
      <w:jc w:val="right"/>
      <w:rPr>
        <w:rFonts w:ascii="Arial" w:hAnsi="Arial"/>
        <w:sz w:val="16"/>
      </w:rPr>
    </w:pPr>
    <w:r>
      <w:rPr>
        <w:rFonts w:ascii="Arial" w:hAnsi="Arial"/>
        <w:sz w:val="16"/>
      </w:rPr>
      <w:t>SERB141 SV22 310513</w:t>
    </w:r>
  </w:p>
  <w:p>
    <w:pPr>
      <w:pStyle w:val="P16"/>
      <w:pBdr>
        <w:top w:val="single" w:sz="4" w:space="0" w:shadow="0" w:frame="0"/>
      </w:pBdr>
      <w:jc w:val="right"/>
      <w:rPr>
        <w:rFonts w:ascii="Arial" w:hAnsi="Arial"/>
        <w:sz w:val="2"/>
      </w:rPr>
    </w:pPr>
  </w:p>
</w:ftr>
</file>

<file path=word/numbering.xml><?xml version="1.0" encoding="utf-8"?>
<w:numbering xmlns:w="http://schemas.openxmlformats.org/wordprocessingml/2006/main">
  <w:abstractNum w:abstractNumId="0">
    <w:nsid w:val="21AD2CF4"/>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1">
    <w:nsid w:val="4115036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2">
    <w:nsid w:val="6B666B95"/>
    <w:multiLevelType w:val="hybridMultilevel"/>
    <w:lvl w:ilvl="0" w:tplc="750A8388">
      <w:start w:val="0"/>
      <w:numFmt w:val="bullet"/>
      <w:suff w:val="tab"/>
      <w:lvlText w:val="-"/>
      <w:lvlJc w:val="left"/>
      <w:pPr>
        <w:ind w:hanging="360" w:left="720"/>
        <w:tabs>
          <w:tab w:val="left" w:pos="720" w:leader="none"/>
        </w:tabs>
      </w:pPr>
      <w:rPr>
        <w:rFonts w:ascii="Times New Roman" w:hAnsi="Times New Roman"/>
      </w:rPr>
    </w:lvl>
    <w:lvl w:ilvl="1" w:tplc="42A0DC6E">
      <w:start w:val="1"/>
      <w:numFmt w:val="bullet"/>
      <w:suff w:val="tab"/>
      <w:lvlText w:val="o"/>
      <w:lvlJc w:val="left"/>
      <w:pPr>
        <w:ind w:hanging="360" w:left="1440"/>
        <w:tabs>
          <w:tab w:val="left" w:pos="1440" w:leader="none"/>
        </w:tabs>
      </w:pPr>
      <w:rPr>
        <w:rFonts w:ascii="Courier New" w:hAnsi="Courier New"/>
      </w:rPr>
    </w:lvl>
    <w:lvl w:ilvl="2" w:tplc="6EACC901">
      <w:start w:val="1"/>
      <w:numFmt w:val="bullet"/>
      <w:suff w:val="tab"/>
      <w:lvlText w:val=""/>
      <w:lvlJc w:val="left"/>
      <w:pPr>
        <w:ind w:hanging="360" w:left="2160"/>
        <w:tabs>
          <w:tab w:val="left" w:pos="2160" w:leader="none"/>
        </w:tabs>
      </w:pPr>
      <w:rPr>
        <w:rFonts w:ascii="Wingdings" w:hAnsi="Wingdings"/>
      </w:rPr>
    </w:lvl>
    <w:lvl w:ilvl="3" w:tplc="4962D5DE">
      <w:start w:val="1"/>
      <w:numFmt w:val="bullet"/>
      <w:suff w:val="tab"/>
      <w:lvlText w:val=""/>
      <w:lvlJc w:val="left"/>
      <w:pPr>
        <w:ind w:hanging="360" w:left="2880"/>
        <w:tabs>
          <w:tab w:val="left" w:pos="2880" w:leader="none"/>
        </w:tabs>
      </w:pPr>
      <w:rPr>
        <w:rFonts w:ascii="Symbol" w:hAnsi="Symbol"/>
      </w:rPr>
    </w:lvl>
    <w:lvl w:ilvl="4" w:tplc="2BA6A9B0">
      <w:start w:val="1"/>
      <w:numFmt w:val="bullet"/>
      <w:suff w:val="tab"/>
      <w:lvlText w:val="o"/>
      <w:lvlJc w:val="left"/>
      <w:pPr>
        <w:ind w:hanging="360" w:left="3600"/>
        <w:tabs>
          <w:tab w:val="left" w:pos="3600" w:leader="none"/>
        </w:tabs>
      </w:pPr>
      <w:rPr>
        <w:rFonts w:ascii="Courier New" w:hAnsi="Courier New"/>
      </w:rPr>
    </w:lvl>
    <w:lvl w:ilvl="5" w:tplc="61E44C31">
      <w:start w:val="1"/>
      <w:numFmt w:val="bullet"/>
      <w:suff w:val="tab"/>
      <w:lvlText w:val=""/>
      <w:lvlJc w:val="left"/>
      <w:pPr>
        <w:ind w:hanging="360" w:left="4320"/>
        <w:tabs>
          <w:tab w:val="left" w:pos="4320" w:leader="none"/>
        </w:tabs>
      </w:pPr>
      <w:rPr>
        <w:rFonts w:ascii="Wingdings" w:hAnsi="Wingdings"/>
      </w:rPr>
    </w:lvl>
    <w:lvl w:ilvl="6" w:tplc="5C78833D">
      <w:start w:val="1"/>
      <w:numFmt w:val="bullet"/>
      <w:suff w:val="tab"/>
      <w:lvlText w:val=""/>
      <w:lvlJc w:val="left"/>
      <w:pPr>
        <w:ind w:hanging="360" w:left="5040"/>
        <w:tabs>
          <w:tab w:val="left" w:pos="5040" w:leader="none"/>
        </w:tabs>
      </w:pPr>
      <w:rPr>
        <w:rFonts w:ascii="Symbol" w:hAnsi="Symbol"/>
      </w:rPr>
    </w:lvl>
    <w:lvl w:ilvl="7" w:tplc="2CDA9033">
      <w:start w:val="1"/>
      <w:numFmt w:val="bullet"/>
      <w:suff w:val="tab"/>
      <w:lvlText w:val="o"/>
      <w:lvlJc w:val="left"/>
      <w:pPr>
        <w:ind w:hanging="360" w:left="5760"/>
        <w:tabs>
          <w:tab w:val="left" w:pos="5760" w:leader="none"/>
        </w:tabs>
      </w:pPr>
      <w:rPr>
        <w:rFonts w:ascii="Courier New" w:hAnsi="Courier New"/>
      </w:rPr>
    </w:lvl>
    <w:lvl w:ilvl="8" w:tplc="76D5F52E">
      <w:start w:val="1"/>
      <w:numFmt w:val="bullet"/>
      <w:suff w:val="tab"/>
      <w:lvlText w:val=""/>
      <w:lvlJc w:val="left"/>
      <w:pPr>
        <w:ind w:hanging="360" w:left="6480"/>
        <w:tabs>
          <w:tab w:val="left" w:pos="6480" w:leader="none"/>
        </w:tabs>
      </w:pPr>
      <w:rPr>
        <w:rFonts w:ascii="Wingdings" w:hAnsi="Wingdings"/>
      </w:rPr>
    </w:lvl>
  </w:abstractNum>
  <w:num w:numId="1">
    <w:abstractNumId w:val="2"/>
  </w:num>
  <w:num w:numId="2">
    <w:abstractNumId w:val="1"/>
  </w:num>
  <w:num w:numId="3">
    <w:abstractNumId w:val="0"/>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ind w:left="36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20"/>
      <w:u w:val="single"/>
    </w:rPr>
  </w:style>
  <w:style w:type="paragraph" w:styleId="P4">
    <w:name w:val="Heading 3"/>
    <w:basedOn w:val="P0"/>
    <w:next w:val="P0"/>
    <w:pPr>
      <w:keepNext w:val="1"/>
      <w:outlineLvl w:val="2"/>
    </w:pPr>
    <w:rPr>
      <w:rFonts w:ascii="Arial" w:hAnsi="Arial"/>
      <w:b w:val="1"/>
      <w:sz w:val="18"/>
    </w:rPr>
  </w:style>
  <w:style w:type="paragraph" w:styleId="P5">
    <w:name w:val="Heading 4"/>
    <w:basedOn w:val="P0"/>
    <w:next w:val="P0"/>
    <w:pPr>
      <w:keepNext w:val="1"/>
      <w:outlineLvl w:val="3"/>
    </w:pPr>
    <w:rPr>
      <w:rFonts w:ascii="Arial" w:hAnsi="Arial"/>
      <w:sz w:val="52"/>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center"/>
      <w:outlineLvl w:val="6"/>
    </w:pPr>
    <w:rPr>
      <w:rFonts w:ascii="Arial" w:hAnsi="Arial"/>
      <w:b w:val="1"/>
      <w:sz w:val="72"/>
    </w:rPr>
  </w:style>
  <w:style w:type="paragraph" w:styleId="P9">
    <w:name w:val="Heading 8"/>
    <w:basedOn w:val="P0"/>
    <w:next w:val="P0"/>
    <w:pPr>
      <w:keepNext w:val="1"/>
      <w:jc w:val="center"/>
      <w:outlineLvl w:val="7"/>
    </w:pPr>
    <w:rPr>
      <w:rFonts w:ascii="Arial" w:hAnsi="Arial"/>
      <w:b w:val="1"/>
      <w:sz w:val="26"/>
    </w:rPr>
  </w:style>
  <w:style w:type="paragraph" w:styleId="P10">
    <w:name w:val="Heading 9"/>
    <w:basedOn w:val="P0"/>
    <w:next w:val="P0"/>
    <w:pPr>
      <w:keepNext w:val="1"/>
      <w:ind w:left="360"/>
      <w:jc w:val="center"/>
      <w:outlineLvl w:val="8"/>
    </w:pPr>
    <w:rPr>
      <w:rFonts w:ascii="Arial" w:hAnsi="Arial"/>
      <w:b w:val="1"/>
      <w:sz w:val="22"/>
    </w:rPr>
  </w:style>
  <w:style w:type="paragraph" w:styleId="P11">
    <w:name w:val="Footnote Text"/>
    <w:basedOn w:val="P0"/>
    <w:next w:val="P11"/>
    <w:pPr/>
    <w:rPr>
      <w:sz w:val="20"/>
    </w:rPr>
  </w:style>
  <w:style w:type="paragraph" w:styleId="P12">
    <w:name w:val="Body Text Indent"/>
    <w:basedOn w:val="P0"/>
    <w:next w:val="P12"/>
    <w:pPr>
      <w:ind w:firstLine="360" w:left="360"/>
      <w:jc w:val="both"/>
    </w:pPr>
    <w:rPr>
      <w:rFonts w:ascii="Arial" w:hAnsi="Arial"/>
      <w:sz w:val="20"/>
    </w:rPr>
  </w:style>
  <w:style w:type="paragraph" w:styleId="P13">
    <w:name w:val="Body Text Indent 2"/>
    <w:basedOn w:val="P0"/>
    <w:next w:val="P13"/>
    <w:pPr>
      <w:ind w:firstLine="360" w:left="360"/>
      <w:jc w:val="both"/>
    </w:pPr>
    <w:rPr>
      <w:rFonts w:ascii="Arial" w:hAnsi="Arial"/>
      <w:sz w:val="22"/>
    </w:rPr>
  </w:style>
  <w:style w:type="paragraph" w:styleId="P14">
    <w:name w:val="Body Text Indent 3"/>
    <w:basedOn w:val="P0"/>
    <w:next w:val="P14"/>
    <w:pPr>
      <w:ind w:firstLine="900"/>
      <w:jc w:val="both"/>
    </w:pPr>
    <w:rPr>
      <w:rFonts w:ascii="Arial" w:hAnsi="Arial"/>
      <w:sz w:val="22"/>
    </w:rPr>
  </w:style>
  <w:style w:type="paragraph" w:styleId="P15">
    <w:name w:val="Header"/>
    <w:basedOn w:val="P0"/>
    <w:next w:val="P15"/>
    <w:pPr>
      <w:tabs>
        <w:tab w:val="center" w:pos="4320" w:leader="none"/>
        <w:tab w:val="right" w:pos="8640" w:leader="none"/>
      </w:tabs>
    </w:pPr>
    <w:rPr/>
  </w:style>
  <w:style w:type="paragraph" w:styleId="P16">
    <w:name w:val="Footer"/>
    <w:basedOn w:val="P0"/>
    <w:next w:val="P16"/>
    <w:pPr>
      <w:tabs>
        <w:tab w:val="center" w:pos="4320" w:leader="none"/>
        <w:tab w:val="right" w:pos="8640" w:leader="none"/>
      </w:tabs>
    </w:pPr>
    <w:rPr/>
  </w:style>
  <w:style w:type="paragraph" w:styleId="P17">
    <w:name w:val="Body Text"/>
    <w:basedOn w:val="P0"/>
    <w:next w:val="P17"/>
    <w:pPr>
      <w:jc w:val="both"/>
    </w:pPr>
    <w:rPr>
      <w:rFonts w:ascii="Arial" w:hAnsi="Arial"/>
      <w:color w:val="FF0000"/>
      <w:sz w:val="20"/>
    </w:rPr>
  </w:style>
  <w:style w:type="paragraph" w:styleId="P18">
    <w:name w:val="Balloon Text"/>
    <w:basedOn w:val="P0"/>
    <w:next w:val="P18"/>
    <w:pPr/>
    <w:rPr>
      <w:rFonts w:ascii="Tahoma" w:hAnsi="Tahoma"/>
      <w:sz w:val="16"/>
    </w:rPr>
  </w:style>
  <w:style w:type="paragraph" w:styleId="P19">
    <w:name w:val="Car Car"/>
    <w:basedOn w:val="P0"/>
    <w:next w:val="P19"/>
    <w:link w:val="C0"/>
    <w:pPr>
      <w:spacing w:lineRule="exact" w:line="240" w:after="160"/>
    </w:pPr>
    <w:rPr>
      <w:rFonts w:ascii="Verdana" w:hAnsi="Verdana"/>
      <w:i w:val="1"/>
      <w:sz w:val="20"/>
    </w:rPr>
  </w:style>
  <w:style w:type="paragraph" w:styleId="P20">
    <w:name w:val=" Char Char Char Char Char1 Char"/>
    <w:basedOn w:val="P0"/>
    <w:next w:val="P20"/>
    <w:pPr>
      <w:tabs>
        <w:tab w:val="left" w:pos="567" w:leader="none"/>
      </w:tabs>
      <w:spacing w:lineRule="exact" w:line="240" w:before="120" w:after="160"/>
      <w:ind w:hanging="504" w:left="1584"/>
    </w:pPr>
    <w:rPr>
      <w:rFonts w:ascii="Arial" w:hAnsi="Arial"/>
      <w:b w:val="1"/>
      <w:color w:val="000000"/>
    </w:rPr>
  </w:style>
  <w:style w:type="character" w:styleId="C0" w:default="1">
    <w:name w:val="Default Paragraph Font"/>
    <w:link w:val="P19"/>
    <w:semiHidden/>
    <w:rPr>
      <w:rFonts w:ascii="Verdana" w:hAnsi="Verdana"/>
      <w:i w:val="1"/>
      <w:sz w:val="20"/>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character" w:styleId="C5">
    <w:name w:val="short_text"/>
    <w:basedOn w:val="C0"/>
    <w:rPr/>
  </w:style>
  <w:style w:type="character" w:styleId="C6">
    <w:name w:val="hps"/>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x</dc:creator>
  <dcterms:created xsi:type="dcterms:W3CDTF">2013-05-30T05:32:00Z</dcterms:created>
  <cp:lastModifiedBy>Nikola Kapetanovic</cp:lastModifiedBy>
  <cp:lastPrinted>2011-03-29T08:15:00Z</cp:lastPrinted>
  <dcterms:modified xsi:type="dcterms:W3CDTF">2020-01-10T11:42:32Z</dcterms:modified>
  <cp:revision>3</cp:revision>
  <dc:title>Промет робе у трговини на мало у Републици Србији, јануар 2003</dc:title>
</cp:coreProperties>
</file>