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A08069" Type="http://schemas.openxmlformats.org/officeDocument/2006/relationships/officeDocument" Target="/word/document.xml" /><Relationship Id="coreR42A080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118 - Year LXIII, 30/04/2013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SERB118 PM10 300413</w:t>
            </w:r>
          </w:p>
        </w:tc>
      </w:tr>
    </w:tbl>
    <w:p>
      <w:pPr>
        <w:pStyle w:val="P27"/>
      </w:pPr>
    </w:p>
    <w:p>
      <w:pPr>
        <w:pStyle w:val="P26"/>
        <w:spacing w:before="720"/>
      </w:pPr>
      <w:r>
        <w:t>Retail trade turnover in the Republic of Serbia, March 2013</w:t>
      </w:r>
    </w:p>
    <w:p>
      <w:pPr>
        <w:pStyle w:val="P21"/>
        <w:spacing w:before="360" w:after="360"/>
        <w:ind w:left="360"/>
      </w:pPr>
      <w:r>
        <w:t>– Preliminary results –</w:t>
      </w:r>
    </w:p>
    <w:p>
      <w:pPr>
        <w:pStyle w:val="P14"/>
        <w:spacing w:before="120" w:after="120"/>
        <w:ind w:firstLine="397"/>
      </w:pPr>
      <w:r>
        <w:t xml:space="preserve">According to the preliminary results, the turnover of retail trade in the Republic of Serbia in March 2013, compared to March 2012, decreased by 9.6% at current prices and by 17.5% at constant prices. In March 2013 compared to February 2013, the turnover increased by 13.5% at current prices and by 13.4% at constant prices. </w:t>
      </w:r>
    </w:p>
    <w:p>
      <w:pPr>
        <w:pStyle w:val="P14"/>
        <w:spacing w:before="120" w:after="120"/>
        <w:ind w:firstLine="397"/>
        <w:rPr>
          <w:sz w:val="20"/>
        </w:rPr>
      </w:pPr>
      <w:r>
        <w:t>Comparing the first three months of 2013 with the same period 2012, the retail trade turnover decreased by 2% at current prices and by 11.9% at constant prices.</w:t>
      </w:r>
    </w:p>
    <w:p>
      <w:pPr>
        <w:pStyle w:val="P12"/>
        <w:ind w:firstLine="0" w:left="0"/>
        <w:jc w:val="center"/>
      </w:pPr>
    </w:p>
    <w:p>
      <w:pPr>
        <w:pStyle w:val="P2"/>
        <w:ind w:left="0"/>
      </w:pPr>
    </w:p>
    <w:p>
      <w:pPr>
        <w:jc w:val="center"/>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3616325</wp:posOffset>
                </wp:positionH>
                <wp:positionV relativeFrom="paragraph">
                  <wp:posOffset>3483610</wp:posOffset>
                </wp:positionV>
                <wp:extent cx="744855" cy="114300"/>
                <wp:wrapNone/>
                <wp:docPr id="2" name="Text Box 2"/>
                <a:graphic xmlns:a="http://schemas.openxmlformats.org/drawingml/2006/main">
                  <a:graphicData uri="http://schemas.microsoft.com/office/word/2010/wordprocessingShape">
                    <wps:wsp>
                      <wps:cNvSpPr/>
                      <wps:spPr>
                        <a:xfrm>
                          <a:off x="0" y="0"/>
                          <a:ext cx="74485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8.65pt;height:9pt;z-index:4;mso-wrap-distance-left:9pt;mso-wrap-distance-top:0pt;mso-wrap-distance-right:9pt;mso-wrap-distance-bottom:0pt;margin-left:284.75pt;margin-top:274.3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2628900</wp:posOffset>
                </wp:positionH>
                <wp:positionV relativeFrom="paragraph">
                  <wp:posOffset>3491865</wp:posOffset>
                </wp:positionV>
                <wp:extent cx="756285" cy="114300"/>
                <wp:wrapNone/>
                <wp:docPr id="4" name="Text Box 4"/>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59.55pt;height:9pt;z-index:3;mso-wrap-distance-left:9pt;mso-wrap-distance-top:0pt;mso-wrap-distance-right:9pt;mso-wrap-distance-bottom:0pt;margin-left:207pt;margin-top:274.95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604520</wp:posOffset>
                </wp:positionH>
                <wp:positionV relativeFrom="paragraph">
                  <wp:posOffset>2993390</wp:posOffset>
                </wp:positionV>
                <wp:extent cx="5486400" cy="342900"/>
                <wp:wrapNone/>
                <wp:docPr id="6" name="Text Box 6"/>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March     Apr       May     June       July       Aug      Sept     Oct     Nov         Dec       Jan       Feb    March</w:t>
                            </w:r>
                          </w:p>
                          <w:p>
                            <w:pPr>
                              <w:rPr>
                                <w:sz w:val="18"/>
                              </w:rPr>
                            </w:pPr>
                            <w:r>
                              <w:rPr>
                                <w:sz w:val="18"/>
                              </w:rPr>
                              <w:t xml:space="preserve">   2012                                                                                                                            2013</w:t>
                            </w:r>
                          </w:p>
                        </w:txbxContent>
                      </wps:txbx>
                      <wps:bodyPr lIns="17780" tIns="10795" rIns="17780" bIns="10795"/>
                    </wps:wsp>
                  </a:graphicData>
                </a:graphic>
              </wp:anchor>
            </w:drawing>
          </mc:Choice>
          <mc:Fallback>
            <w:pict>
              <v:shapetype id="7" path="m,l,21600r21600,l21600,xe"/>
              <v:shape xmlns:o="urn:schemas-microsoft-com:office:office" type="#7" id="Text Box 6" style="position:absolute;width:432pt;height:27pt;z-index:2;mso-wrap-distance-left:9pt;mso-wrap-distance-top:0pt;mso-wrap-distance-right:9pt;mso-wrap-distance-bottom:0pt;margin-left:47.6pt;margin-top:235.7pt;mso-position-horizontal:absolute;mso-position-horizontal-relative:text;mso-position-vertical:absolute;mso-position-vertical-relative:text" stroked="f" o:allowincell="t">
                <v:textbox inset="0mm,0mm,0mm,0mm">
                  <w:txbxContent>
                    <w:p>
                      <w:pPr>
                        <w:rPr>
                          <w:sz w:val="18"/>
                        </w:rPr>
                      </w:pPr>
                      <w:r>
                        <w:rPr>
                          <w:sz w:val="18"/>
                        </w:rPr>
                        <w:t xml:space="preserve">    March     Apr       May     June       July       Aug      Sept     Oct     Nov         Dec       Jan       Feb    March</w:t>
                      </w:r>
                    </w:p>
                    <w:p>
                      <w:pPr>
                        <w:rPr>
                          <w:sz w:val="18"/>
                        </w:rPr>
                      </w:pPr>
                      <w:r>
                        <w:rPr>
                          <w:sz w:val="18"/>
                        </w:rPr>
                        <w:t xml:space="preserve">   2012                                                                                                                            2013</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1444625</wp:posOffset>
                </wp:positionH>
                <wp:positionV relativeFrom="paragraph">
                  <wp:posOffset>152400</wp:posOffset>
                </wp:positionV>
                <wp:extent cx="3429000" cy="571500"/>
                <wp:wrapNone/>
                <wp:docPr id="8" name="Text Box 8"/>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turnover indices</w:t>
                            </w:r>
                          </w:p>
                          <w:p>
                            <w:pPr>
                              <w:jc w:val="center"/>
                              <w:rPr>
                                <w:b w:val="1"/>
                              </w:rPr>
                            </w:pPr>
                            <w:r>
                              <w:rPr>
                                <w:b w:val="1"/>
                              </w:rPr>
                              <w:t>- Rep</w:t>
                            </w:r>
                            <w:r>
                              <w:rPr>
                                <w:b w:val="1"/>
                              </w:rPr>
                              <w:t>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wps:txbx>
                      <wps:bodyPr/>
                    </wps:wsp>
                  </a:graphicData>
                </a:graphic>
              </wp:anchor>
            </w:drawing>
          </mc:Choice>
          <mc:Fallback>
            <w:pict>
              <v:shapetype id="9" path="m,l,21600r21600,l21600,xe"/>
              <v:shape xmlns:o="urn:schemas-microsoft-com:office:office" type="#9" id="Text Box 8" style="position:absolute;width:270pt;height:45pt;z-index:1;mso-wrap-distance-left:9pt;mso-wrap-distance-top:0pt;mso-wrap-distance-right:9pt;mso-wrap-distance-bottom:0pt;margin-left:113.75pt;margin-top:12pt;mso-position-horizontal:absolute;mso-position-horizontal-relative:text;mso-position-vertical:absolute;mso-position-vertical-relative:text" stroked="f" o:allowincell="t">
                <v:textbox>
                  <w:txbxContent>
                    <w:p>
                      <w:pPr>
                        <w:jc w:val="center"/>
                        <w:rPr>
                          <w:b w:val="1"/>
                        </w:rPr>
                      </w:pPr>
                      <w:r>
                        <w:rPr>
                          <w:b w:val="1"/>
                        </w:rPr>
                        <w:t>Retail trade turnover indices</w:t>
                      </w:r>
                    </w:p>
                    <w:p>
                      <w:pPr>
                        <w:jc w:val="center"/>
                        <w:rPr>
                          <w:b w:val="1"/>
                        </w:rPr>
                      </w:pPr>
                      <w:r>
                        <w:rPr>
                          <w:b w:val="1"/>
                        </w:rPr>
                        <w:t>- Rep</w:t>
                      </w:r>
                      <w:r>
                        <w:rPr>
                          <w:b w:val="1"/>
                        </w:rPr>
                        <w:t>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28738462"/>
      <w:bookmarkEnd w:id="29"/>
      <w:bookmarkStart w:id="30" w:name="_1428128740"/>
      <w:bookmarkEnd w:id="30"/>
      <w:bookmarkStart w:id="31" w:name="_1423475449"/>
      <w:bookmarkEnd w:id="31"/>
      <w:bookmarkStart w:id="32" w:name="_1423029574"/>
      <w:bookmarkEnd w:id="32"/>
      <w:bookmarkStart w:id="33" w:name="_1419945179"/>
      <w:bookmarkEnd w:id="33"/>
      <w:bookmarkStart w:id="34" w:name="_1418114923"/>
      <w:bookmarkEnd w:id="34"/>
      <w:bookmarkStart w:id="35" w:name="_1415608895"/>
      <w:bookmarkEnd w:id="35"/>
      <w:bookmarkStart w:id="36" w:name="_1412683599"/>
      <w:bookmarkEnd w:id="36"/>
      <w:bookmarkStart w:id="37" w:name="_1412683531"/>
      <w:bookmarkEnd w:id="37"/>
      <w:bookmarkStart w:id="38" w:name="_1410253915"/>
      <w:bookmarkEnd w:id="38"/>
      <w:bookmarkStart w:id="39" w:name="_1407583711"/>
      <w:bookmarkEnd w:id="39"/>
      <w:bookmarkStart w:id="40" w:name="_1401175561"/>
      <w:bookmarkEnd w:id="40"/>
      <w:bookmarkStart w:id="41" w:name="_1396959334"/>
      <w:bookmarkEnd w:id="41"/>
      <w:bookmarkStart w:id="42" w:name="_1396420409"/>
      <w:bookmarkEnd w:id="42"/>
      <w:bookmarkStart w:id="43" w:name="_1394517881"/>
      <w:bookmarkEnd w:id="43"/>
      <w:bookmarkStart w:id="44" w:name="_1394516914"/>
      <w:bookmarkEnd w:id="44"/>
      <w:bookmarkStart w:id="45" w:name="_1392536296"/>
      <w:bookmarkEnd w:id="45"/>
      <w:bookmarkStart w:id="46" w:name="_1362995495"/>
      <w:bookmarkEnd w:id="46"/>
      <w:bookmarkStart w:id="47" w:name="_1362995345"/>
      <w:bookmarkEnd w:id="47"/>
      <w:bookmarkStart w:id="48" w:name="_1362995231"/>
      <w:bookmarkEnd w:id="48"/>
      <w:bookmarkStart w:id="49" w:name="_1362995094"/>
      <w:bookmarkEnd w:id="49"/>
      <w:bookmarkStart w:id="50" w:name="_1360390771"/>
      <w:bookmarkEnd w:id="50"/>
      <w:bookmarkStart w:id="51" w:name="_1360389603"/>
      <w:bookmarkEnd w:id="51"/>
      <w:bookmarkStart w:id="52" w:name="_1360389179"/>
      <w:bookmarkEnd w:id="52"/>
      <w:bookmarkStart w:id="53" w:name="_1360145151"/>
      <w:bookmarkEnd w:id="53"/>
      <w:bookmarkStart w:id="54" w:name="_1359889055"/>
      <w:bookmarkEnd w:id="54"/>
      <w:bookmarkStart w:id="55" w:name="_1358683586"/>
      <w:bookmarkEnd w:id="55"/>
      <w:bookmarkStart w:id="56" w:name="_1358335734"/>
      <w:bookmarkEnd w:id="56"/>
      <w:bookmarkStart w:id="57" w:name="_1358335502"/>
      <w:bookmarkEnd w:id="57"/>
      <w:r>
        <w:fldChar w:fldCharType="separate"/>
      </w:r>
      <w:r>
        <w:drawing>
          <wp:inline xmlns:wp="http://schemas.openxmlformats.org/drawingml/2006/wordprocessingDrawing">
            <wp:extent cx="6200140"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200140" cy="3733165"/>
                    </a:xfrm>
                    <a:prstGeom prst="rect"/>
                    <a:noFill/>
                  </pic:spPr>
                </pic:pic>
              </a:graphicData>
            </a:graphic>
          </wp:inline>
        </w:drawing>
      </w:r>
      <w:r>
        <w:fldChar w:fldCharType="end"/>
      </w:r>
    </w:p>
    <w:p>
      <w:pPr>
        <w:pStyle w:val="P2"/>
        <w:spacing w:after="40"/>
        <w:ind w:left="0"/>
        <w:jc w:val="left"/>
      </w:pPr>
      <w:r>
        <w:br w:type="page"/>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III 2013</w:t>
            </w:r>
          </w:p>
          <w:p>
            <w:pPr>
              <w:jc w:val="center"/>
              <w:rPr>
                <w:sz w:val="16"/>
              </w:rPr>
            </w:pPr>
            <w:r>
              <w:rPr>
                <w:sz w:val="16"/>
              </w:rPr>
              <w:t>III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III 2013</w:t>
            </w:r>
          </w:p>
          <w:p>
            <w:pPr>
              <w:jc w:val="center"/>
              <w:rPr>
                <w:sz w:val="16"/>
              </w:rPr>
            </w:pPr>
            <w:r>
              <w:rPr>
                <w:sz w:val="16"/>
              </w:rPr>
              <w:t>II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III 2013</w:t>
            </w:r>
          </w:p>
          <w:p>
            <w:pPr>
              <w:jc w:val="center"/>
              <w:rPr>
                <w:sz w:val="16"/>
              </w:rPr>
            </w:pPr>
            <w:r>
              <w:rPr>
                <w:sz w:val="16"/>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6"/>
              </w:rPr>
            </w:pPr>
            <w:r>
              <w:rPr>
                <w:sz w:val="16"/>
              </w:rPr>
              <w:t>I-III 2013</w:t>
            </w:r>
          </w:p>
          <w:p>
            <w:pPr>
              <w:jc w:val="center"/>
              <w:rPr>
                <w:sz w:val="16"/>
              </w:rPr>
            </w:pPr>
            <w:r>
              <w:rPr>
                <w:sz w:val="16"/>
              </w:rPr>
              <w:t>I-III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90.4</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82.5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113.5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113.4</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92.7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87.6</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98.0</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88.1</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sz w:val="16"/>
              </w:rPr>
            </w:pPr>
            <w:r>
              <w:rPr>
                <w:sz w:val="16"/>
              </w:rPr>
              <w:t>90.8</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83.1</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93.7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88.7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95.9</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86.4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sz w:val="16"/>
              </w:rPr>
            </w:pPr>
            <w:r>
              <w:rPr>
                <w:sz w:val="16"/>
              </w:rPr>
              <w:t>86.9</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79.5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112.9</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112.7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89.3</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84.4</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95.3</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85.8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sz w:val="16"/>
              </w:rPr>
            </w:pPr>
            <w:r>
              <w:rPr>
                <w:sz w:val="16"/>
              </w:rPr>
              <w:t>89.6</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81.5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113.2</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90.9</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85.5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102.0</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91.5</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III 2013</w:t>
            </w:r>
          </w:p>
          <w:p>
            <w:pPr>
              <w:jc w:val="center"/>
              <w:rPr>
                <w:sz w:val="16"/>
              </w:rPr>
            </w:pPr>
            <w:r>
              <w:rPr>
                <w:sz w:val="16"/>
              </w:rPr>
              <w:t>III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III 2013</w:t>
            </w:r>
          </w:p>
          <w:p>
            <w:pPr>
              <w:jc w:val="center"/>
              <w:rPr>
                <w:sz w:val="16"/>
              </w:rPr>
            </w:pPr>
            <w:r>
              <w:rPr>
                <w:sz w:val="16"/>
              </w:rPr>
              <w:t>II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III 2013</w:t>
            </w:r>
          </w:p>
          <w:p>
            <w:pPr>
              <w:jc w:val="center"/>
              <w:rPr>
                <w:sz w:val="16"/>
              </w:rPr>
            </w:pPr>
            <w:r>
              <w:rPr>
                <w:sz w:val="16"/>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I-III 2013</w:t>
            </w:r>
          </w:p>
          <w:p>
            <w:pPr>
              <w:jc w:val="center"/>
              <w:rPr>
                <w:sz w:val="16"/>
              </w:rPr>
            </w:pPr>
            <w:r>
              <w:rPr>
                <w:sz w:val="16"/>
              </w:rPr>
              <w:t>I-III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90.4</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82.5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113.5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113.4</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92.7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87.6</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98.0</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b w:val="1"/>
                <w:sz w:val="16"/>
              </w:rPr>
            </w:pPr>
            <w:r>
              <w:rPr>
                <w:b w:val="1"/>
                <w:sz w:val="16"/>
              </w:rPr>
              <w:t>88.1</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sz w:val="16"/>
              </w:rPr>
            </w:pPr>
            <w:r>
              <w:rPr>
                <w:sz w:val="16"/>
              </w:rPr>
              <w:t>103.1</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88.1</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113.8</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100.2</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90.5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102.4</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86.7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sz w:val="16"/>
              </w:rPr>
            </w:pPr>
            <w:r>
              <w:rPr>
                <w:sz w:val="16"/>
              </w:rPr>
              <w:t>84.3</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78.3</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113.8</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113.7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87.0</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82.7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95.1</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88.1</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vAlign w:val="bottom"/>
          </w:tcPr>
          <w:p>
            <w:pPr>
              <w:spacing w:before="60" w:after="60"/>
              <w:ind w:right="170"/>
              <w:jc w:val="right"/>
              <w:rPr>
                <w:sz w:val="16"/>
              </w:rPr>
            </w:pPr>
            <w:r>
              <w:rPr>
                <w:sz w:val="16"/>
              </w:rPr>
              <w:t>79.4</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76.7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112.5</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112.1</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88.1</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87.7</w:t>
            </w:r>
          </w:p>
        </w:tc>
        <w:tc>
          <w:tcPr>
            <w:tcW w:w="933"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94.0</w:t>
            </w:r>
          </w:p>
        </w:tc>
        <w:tc>
          <w:tcPr>
            <w:tcW w:w="934" w:type="dxa"/>
            <w:tcBorders>
              <w:top w:val="none" w:sz="0" w:space="0" w:shadow="0" w:frame="0"/>
              <w:left w:val="none" w:sz="0" w:space="0" w:shadow="0" w:frame="0"/>
              <w:bottom w:val="none" w:sz="0" w:space="0" w:shadow="0" w:frame="0"/>
              <w:right w:val="none" w:sz="0" w:space="0" w:shadow="0" w:frame="0"/>
            </w:tcBorders>
            <w:vAlign w:val="bottom"/>
          </w:tcPr>
          <w:p>
            <w:pPr>
              <w:spacing w:before="60" w:after="60"/>
              <w:ind w:right="170"/>
              <w:jc w:val="right"/>
              <w:rPr>
                <w:sz w:val="16"/>
              </w:rPr>
            </w:pPr>
            <w:r>
              <w:rPr>
                <w:sz w:val="16"/>
              </w:rPr>
              <w:t>86.5</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58" w:name="_Hlt354648909"/>
      <w:bookmarkStart w:id="59" w:name="_Hlt354648910"/>
      <w:r>
        <w:rPr>
          <w:rStyle w:val="C2"/>
          <w:color w:val="auto"/>
        </w:rPr>
        <w:t>g</w:t>
      </w:r>
      <w:bookmarkEnd w:id="58"/>
      <w:bookmarkEnd w:id="59"/>
      <w:r>
        <w:rPr>
          <w:rStyle w:val="C2"/>
          <w:color w:val="auto"/>
        </w:rPr>
        <w:t>ov.rs/W</w:t>
      </w:r>
      <w:bookmarkStart w:id="60" w:name="_Hlt354388868"/>
      <w:bookmarkStart w:id="61" w:name="_Hlt354388869"/>
      <w:r>
        <w:rPr>
          <w:rStyle w:val="C2"/>
          <w:color w:val="auto"/>
        </w:rPr>
        <w:t>e</w:t>
      </w:r>
      <w:bookmarkEnd w:id="60"/>
      <w:bookmarkEnd w:id="61"/>
      <w:r>
        <w:rPr>
          <w:rStyle w:val="C2"/>
          <w:color w:val="auto"/>
        </w:rPr>
        <w:t>b</w:t>
      </w:r>
      <w:bookmarkStart w:id="62" w:name="_Hlt354649021"/>
      <w:bookmarkStart w:id="63" w:name="_Hlt354649022"/>
      <w:r>
        <w:rPr>
          <w:rStyle w:val="C2"/>
          <w:color w:val="auto"/>
        </w:rPr>
        <w:t>S</w:t>
      </w:r>
      <w:bookmarkEnd w:id="62"/>
      <w:bookmarkEnd w:id="63"/>
      <w:bookmarkStart w:id="64" w:name="_Hlt354648666"/>
      <w:bookmarkStart w:id="65" w:name="_Hlt354648667"/>
      <w:r>
        <w:rPr>
          <w:rStyle w:val="C2"/>
          <w:color w:val="auto"/>
        </w:rPr>
        <w:t>i</w:t>
      </w:r>
      <w:bookmarkEnd w:id="64"/>
      <w:bookmarkEnd w:id="65"/>
      <w:r>
        <w:rPr>
          <w:rStyle w:val="C2"/>
          <w:color w:val="auto"/>
        </w:rPr>
        <w:t>te/Pu</w:t>
      </w:r>
      <w:bookmarkStart w:id="66" w:name="_Hlt354647459"/>
      <w:bookmarkStart w:id="67" w:name="_Hlt354647460"/>
      <w:r>
        <w:rPr>
          <w:rStyle w:val="C2"/>
          <w:color w:val="auto"/>
        </w:rPr>
        <w:t>b</w:t>
      </w:r>
      <w:bookmarkEnd w:id="66"/>
      <w:bookmarkEnd w:id="67"/>
      <w:bookmarkStart w:id="68" w:name="_Hlt354648726"/>
      <w:bookmarkStart w:id="69" w:name="_Hlt354648727"/>
      <w:r>
        <w:rPr>
          <w:rStyle w:val="C2"/>
          <w:color w:val="auto"/>
        </w:rPr>
        <w:t>l</w:t>
      </w:r>
      <w:bookmarkEnd w:id="68"/>
      <w:bookmarkEnd w:id="69"/>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70" w:name="_Hlt354648884"/>
      <w:bookmarkStart w:id="71" w:name="_Hlt354648885"/>
      <w:r>
        <w:rPr>
          <w:rStyle w:val="C2"/>
          <w:color w:val="auto"/>
        </w:rPr>
        <w:t>.</w:t>
      </w:r>
      <w:bookmarkEnd w:id="70"/>
      <w:bookmarkEnd w:id="71"/>
      <w:r>
        <w:rPr>
          <w:rStyle w:val="C2"/>
          <w:color w:val="auto"/>
        </w:rPr>
        <w:t>gov.rs/WebS</w:t>
      </w:r>
      <w:bookmarkStart w:id="72" w:name="_Hlt354648919"/>
      <w:bookmarkStart w:id="73" w:name="_Hlt354648920"/>
      <w:r>
        <w:rPr>
          <w:rStyle w:val="C2"/>
          <w:color w:val="auto"/>
        </w:rPr>
        <w:t>i</w:t>
      </w:r>
      <w:bookmarkEnd w:id="72"/>
      <w:bookmarkEnd w:id="73"/>
      <w:r>
        <w:rPr>
          <w:rStyle w:val="C2"/>
          <w:color w:val="auto"/>
        </w:rPr>
        <w:t>te/public/ReportView.aspx</w:t>
      </w:r>
      <w:r>
        <w:rPr>
          <w:rStyle w:val="C2"/>
          <w:color w:val="auto"/>
        </w:rPr>
        <w:fldChar w:fldCharType="end"/>
      </w:r>
      <w:r>
        <w:t>.</w:t>
      </w:r>
    </w:p>
    <w:p>
      <w:pPr>
        <w:ind w:firstLine="714"/>
        <w:jc w:val="both"/>
        <w:rPr>
          <w:color w:val="FF0000"/>
        </w:rPr>
      </w:pPr>
    </w:p>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SERB118 PM10 300413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2799F9CA">
      <w:start w:val="0"/>
      <w:numFmt w:val="bullet"/>
      <w:suff w:val="tab"/>
      <w:lvlText w:val="–"/>
      <w:lvlJc w:val="left"/>
      <w:pPr>
        <w:ind w:hanging="360" w:left="720"/>
        <w:tabs>
          <w:tab w:val="left" w:pos="720" w:leader="none"/>
        </w:tabs>
      </w:pPr>
      <w:rPr>
        <w:rFonts w:ascii="Arial" w:hAnsi="Arial"/>
      </w:rPr>
    </w:lvl>
    <w:lvl w:ilvl="1" w:tplc="6F320845">
      <w:start w:val="1"/>
      <w:numFmt w:val="bullet"/>
      <w:suff w:val="tab"/>
      <w:lvlText w:val="o"/>
      <w:lvlJc w:val="left"/>
      <w:pPr>
        <w:ind w:hanging="360" w:left="1440"/>
        <w:tabs>
          <w:tab w:val="left" w:pos="1440" w:leader="none"/>
        </w:tabs>
      </w:pPr>
      <w:rPr>
        <w:rFonts w:ascii="Courier New" w:hAnsi="Courier New"/>
      </w:rPr>
    </w:lvl>
    <w:lvl w:ilvl="2" w:tplc="1FFB02FE">
      <w:start w:val="1"/>
      <w:numFmt w:val="bullet"/>
      <w:suff w:val="tab"/>
      <w:lvlText w:val=""/>
      <w:lvlJc w:val="left"/>
      <w:pPr>
        <w:ind w:hanging="360" w:left="2160"/>
        <w:tabs>
          <w:tab w:val="left" w:pos="2160" w:leader="none"/>
        </w:tabs>
      </w:pPr>
      <w:rPr>
        <w:rFonts w:ascii="Wingdings" w:hAnsi="Wingdings"/>
      </w:rPr>
    </w:lvl>
    <w:lvl w:ilvl="3" w:tplc="59622DFF">
      <w:start w:val="1"/>
      <w:numFmt w:val="bullet"/>
      <w:suff w:val="tab"/>
      <w:lvlText w:val=""/>
      <w:lvlJc w:val="left"/>
      <w:pPr>
        <w:ind w:hanging="360" w:left="2880"/>
        <w:tabs>
          <w:tab w:val="left" w:pos="2880" w:leader="none"/>
        </w:tabs>
      </w:pPr>
      <w:rPr>
        <w:rFonts w:ascii="Symbol" w:hAnsi="Symbol"/>
      </w:rPr>
    </w:lvl>
    <w:lvl w:ilvl="4" w:tplc="6C33B5EC">
      <w:start w:val="1"/>
      <w:numFmt w:val="bullet"/>
      <w:suff w:val="tab"/>
      <w:lvlText w:val="o"/>
      <w:lvlJc w:val="left"/>
      <w:pPr>
        <w:ind w:hanging="360" w:left="3600"/>
        <w:tabs>
          <w:tab w:val="left" w:pos="3600" w:leader="none"/>
        </w:tabs>
      </w:pPr>
      <w:rPr>
        <w:rFonts w:ascii="Courier New" w:hAnsi="Courier New"/>
      </w:rPr>
    </w:lvl>
    <w:lvl w:ilvl="5" w:tplc="2C56B16B">
      <w:start w:val="1"/>
      <w:numFmt w:val="bullet"/>
      <w:suff w:val="tab"/>
      <w:lvlText w:val=""/>
      <w:lvlJc w:val="left"/>
      <w:pPr>
        <w:ind w:hanging="360" w:left="4320"/>
        <w:tabs>
          <w:tab w:val="left" w:pos="4320" w:leader="none"/>
        </w:tabs>
      </w:pPr>
      <w:rPr>
        <w:rFonts w:ascii="Wingdings" w:hAnsi="Wingdings"/>
      </w:rPr>
    </w:lvl>
    <w:lvl w:ilvl="6" w:tplc="483EAA37">
      <w:start w:val="1"/>
      <w:numFmt w:val="bullet"/>
      <w:suff w:val="tab"/>
      <w:lvlText w:val=""/>
      <w:lvlJc w:val="left"/>
      <w:pPr>
        <w:ind w:hanging="360" w:left="5040"/>
        <w:tabs>
          <w:tab w:val="left" w:pos="5040" w:leader="none"/>
        </w:tabs>
      </w:pPr>
      <w:rPr>
        <w:rFonts w:ascii="Symbol" w:hAnsi="Symbol"/>
      </w:rPr>
    </w:lvl>
    <w:lvl w:ilvl="7" w:tplc="2FF489F1">
      <w:start w:val="1"/>
      <w:numFmt w:val="bullet"/>
      <w:suff w:val="tab"/>
      <w:lvlText w:val="o"/>
      <w:lvlJc w:val="left"/>
      <w:pPr>
        <w:ind w:hanging="360" w:left="5760"/>
        <w:tabs>
          <w:tab w:val="left" w:pos="5760" w:leader="none"/>
        </w:tabs>
      </w:pPr>
      <w:rPr>
        <w:rFonts w:ascii="Courier New" w:hAnsi="Courier New"/>
      </w:rPr>
    </w:lvl>
    <w:lvl w:ilvl="8" w:tplc="2BB377D8">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39C8D644">
      <w:start w:val="0"/>
      <w:numFmt w:val="bullet"/>
      <w:suff w:val="tab"/>
      <w:lvlText w:val="-"/>
      <w:lvlJc w:val="left"/>
      <w:pPr>
        <w:ind w:hanging="360" w:left="720"/>
        <w:tabs>
          <w:tab w:val="left" w:pos="720" w:leader="none"/>
        </w:tabs>
      </w:pPr>
      <w:rPr>
        <w:rFonts w:ascii="Arial" w:hAnsi="Arial"/>
      </w:rPr>
    </w:lvl>
    <w:lvl w:ilvl="1" w:tplc="5E1D8C7F">
      <w:start w:val="1"/>
      <w:numFmt w:val="bullet"/>
      <w:suff w:val="tab"/>
      <w:lvlText w:val="o"/>
      <w:lvlJc w:val="left"/>
      <w:pPr>
        <w:ind w:hanging="360" w:left="1440"/>
        <w:tabs>
          <w:tab w:val="left" w:pos="1440" w:leader="none"/>
        </w:tabs>
      </w:pPr>
      <w:rPr>
        <w:rFonts w:ascii="Courier New" w:hAnsi="Courier New"/>
      </w:rPr>
    </w:lvl>
    <w:lvl w:ilvl="2" w:tplc="70260D1D">
      <w:start w:val="1"/>
      <w:numFmt w:val="bullet"/>
      <w:suff w:val="tab"/>
      <w:lvlText w:val=""/>
      <w:lvlJc w:val="left"/>
      <w:pPr>
        <w:ind w:hanging="360" w:left="2160"/>
        <w:tabs>
          <w:tab w:val="left" w:pos="2160" w:leader="none"/>
        </w:tabs>
      </w:pPr>
      <w:rPr>
        <w:rFonts w:ascii="Wingdings" w:hAnsi="Wingdings"/>
      </w:rPr>
    </w:lvl>
    <w:lvl w:ilvl="3" w:tplc="72E7027C">
      <w:start w:val="1"/>
      <w:numFmt w:val="bullet"/>
      <w:suff w:val="tab"/>
      <w:lvlText w:val=""/>
      <w:lvlJc w:val="left"/>
      <w:pPr>
        <w:ind w:hanging="360" w:left="2880"/>
        <w:tabs>
          <w:tab w:val="left" w:pos="2880" w:leader="none"/>
        </w:tabs>
      </w:pPr>
      <w:rPr>
        <w:rFonts w:ascii="Symbol" w:hAnsi="Symbol"/>
      </w:rPr>
    </w:lvl>
    <w:lvl w:ilvl="4" w:tplc="0EF7ADE6">
      <w:start w:val="1"/>
      <w:numFmt w:val="bullet"/>
      <w:suff w:val="tab"/>
      <w:lvlText w:val="o"/>
      <w:lvlJc w:val="left"/>
      <w:pPr>
        <w:ind w:hanging="360" w:left="3600"/>
        <w:tabs>
          <w:tab w:val="left" w:pos="3600" w:leader="none"/>
        </w:tabs>
      </w:pPr>
      <w:rPr>
        <w:rFonts w:ascii="Courier New" w:hAnsi="Courier New"/>
      </w:rPr>
    </w:lvl>
    <w:lvl w:ilvl="5" w:tplc="043AABF6">
      <w:start w:val="1"/>
      <w:numFmt w:val="bullet"/>
      <w:suff w:val="tab"/>
      <w:lvlText w:val=""/>
      <w:lvlJc w:val="left"/>
      <w:pPr>
        <w:ind w:hanging="360" w:left="4320"/>
        <w:tabs>
          <w:tab w:val="left" w:pos="4320" w:leader="none"/>
        </w:tabs>
      </w:pPr>
      <w:rPr>
        <w:rFonts w:ascii="Wingdings" w:hAnsi="Wingdings"/>
      </w:rPr>
    </w:lvl>
    <w:lvl w:ilvl="6" w:tplc="1815EDA3">
      <w:start w:val="1"/>
      <w:numFmt w:val="bullet"/>
      <w:suff w:val="tab"/>
      <w:lvlText w:val=""/>
      <w:lvlJc w:val="left"/>
      <w:pPr>
        <w:ind w:hanging="360" w:left="5040"/>
        <w:tabs>
          <w:tab w:val="left" w:pos="5040" w:leader="none"/>
        </w:tabs>
      </w:pPr>
      <w:rPr>
        <w:rFonts w:ascii="Symbol" w:hAnsi="Symbol"/>
      </w:rPr>
    </w:lvl>
    <w:lvl w:ilvl="7" w:tplc="646D1222">
      <w:start w:val="1"/>
      <w:numFmt w:val="bullet"/>
      <w:suff w:val="tab"/>
      <w:lvlText w:val="o"/>
      <w:lvlJc w:val="left"/>
      <w:pPr>
        <w:ind w:hanging="360" w:left="5760"/>
        <w:tabs>
          <w:tab w:val="left" w:pos="5760" w:leader="none"/>
        </w:tabs>
      </w:pPr>
      <w:rPr>
        <w:rFonts w:ascii="Courier New" w:hAnsi="Courier New"/>
      </w:rPr>
    </w:lvl>
    <w:lvl w:ilvl="8" w:tplc="383160A1">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56003468">
      <w:start w:val="0"/>
      <w:numFmt w:val="bullet"/>
      <w:suff w:val="tab"/>
      <w:lvlText w:val="-"/>
      <w:lvlJc w:val="left"/>
      <w:pPr>
        <w:ind w:hanging="360" w:left="720"/>
        <w:tabs>
          <w:tab w:val="left" w:pos="720" w:leader="none"/>
        </w:tabs>
      </w:pPr>
      <w:rPr>
        <w:rFonts w:ascii="Times New Roman" w:hAnsi="Times New Roman"/>
      </w:rPr>
    </w:lvl>
    <w:lvl w:ilvl="1" w:tplc="4B1CACC6">
      <w:start w:val="1"/>
      <w:numFmt w:val="bullet"/>
      <w:suff w:val="tab"/>
      <w:lvlText w:val="o"/>
      <w:lvlJc w:val="left"/>
      <w:pPr>
        <w:ind w:hanging="360" w:left="1440"/>
        <w:tabs>
          <w:tab w:val="left" w:pos="1440" w:leader="none"/>
        </w:tabs>
      </w:pPr>
      <w:rPr>
        <w:rFonts w:ascii="Courier New" w:hAnsi="Courier New"/>
      </w:rPr>
    </w:lvl>
    <w:lvl w:ilvl="2" w:tplc="3701A585">
      <w:start w:val="1"/>
      <w:numFmt w:val="bullet"/>
      <w:suff w:val="tab"/>
      <w:lvlText w:val=""/>
      <w:lvlJc w:val="left"/>
      <w:pPr>
        <w:ind w:hanging="360" w:left="2160"/>
        <w:tabs>
          <w:tab w:val="left" w:pos="2160" w:leader="none"/>
        </w:tabs>
      </w:pPr>
      <w:rPr>
        <w:rFonts w:ascii="Wingdings" w:hAnsi="Wingdings"/>
      </w:rPr>
    </w:lvl>
    <w:lvl w:ilvl="3" w:tplc="47C190C1">
      <w:start w:val="1"/>
      <w:numFmt w:val="bullet"/>
      <w:suff w:val="tab"/>
      <w:lvlText w:val=""/>
      <w:lvlJc w:val="left"/>
      <w:pPr>
        <w:ind w:hanging="360" w:left="2880"/>
        <w:tabs>
          <w:tab w:val="left" w:pos="2880" w:leader="none"/>
        </w:tabs>
      </w:pPr>
      <w:rPr>
        <w:rFonts w:ascii="Symbol" w:hAnsi="Symbol"/>
      </w:rPr>
    </w:lvl>
    <w:lvl w:ilvl="4" w:tplc="499237BF">
      <w:start w:val="1"/>
      <w:numFmt w:val="bullet"/>
      <w:suff w:val="tab"/>
      <w:lvlText w:val="o"/>
      <w:lvlJc w:val="left"/>
      <w:pPr>
        <w:ind w:hanging="360" w:left="3600"/>
        <w:tabs>
          <w:tab w:val="left" w:pos="3600" w:leader="none"/>
        </w:tabs>
      </w:pPr>
      <w:rPr>
        <w:rFonts w:ascii="Courier New" w:hAnsi="Courier New"/>
      </w:rPr>
    </w:lvl>
    <w:lvl w:ilvl="5" w:tplc="0B5DE291">
      <w:start w:val="1"/>
      <w:numFmt w:val="bullet"/>
      <w:suff w:val="tab"/>
      <w:lvlText w:val=""/>
      <w:lvlJc w:val="left"/>
      <w:pPr>
        <w:ind w:hanging="360" w:left="4320"/>
        <w:tabs>
          <w:tab w:val="left" w:pos="4320" w:leader="none"/>
        </w:tabs>
      </w:pPr>
      <w:rPr>
        <w:rFonts w:ascii="Wingdings" w:hAnsi="Wingdings"/>
      </w:rPr>
    </w:lvl>
    <w:lvl w:ilvl="6" w:tplc="5FB75457">
      <w:start w:val="1"/>
      <w:numFmt w:val="bullet"/>
      <w:suff w:val="tab"/>
      <w:lvlText w:val=""/>
      <w:lvlJc w:val="left"/>
      <w:pPr>
        <w:ind w:hanging="360" w:left="5040"/>
        <w:tabs>
          <w:tab w:val="left" w:pos="5040" w:leader="none"/>
        </w:tabs>
      </w:pPr>
      <w:rPr>
        <w:rFonts w:ascii="Symbol" w:hAnsi="Symbol"/>
      </w:rPr>
    </w:lvl>
    <w:lvl w:ilvl="7" w:tplc="7496E279">
      <w:start w:val="1"/>
      <w:numFmt w:val="bullet"/>
      <w:suff w:val="tab"/>
      <w:lvlText w:val="o"/>
      <w:lvlJc w:val="left"/>
      <w:pPr>
        <w:ind w:hanging="360" w:left="5760"/>
        <w:tabs>
          <w:tab w:val="left" w:pos="5760" w:leader="none"/>
        </w:tabs>
      </w:pPr>
      <w:rPr>
        <w:rFonts w:ascii="Courier New" w:hAnsi="Courier New"/>
      </w:rPr>
    </w:lvl>
    <w:lvl w:ilvl="8" w:tplc="4C5E8CF4">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2013-04-30T07:48:00Z</dcterms:created>
  <cp:lastModifiedBy>Nikola Kapetanovic</cp:lastModifiedBy>
  <cp:lastPrinted>2013-04-30T08:15:00Z</cp:lastPrinted>
  <dcterms:modified xsi:type="dcterms:W3CDTF">2020-01-10T11:42:31Z</dcterms:modified>
  <cp:revision>11</cp:revision>
  <dc:title>Промет робе у трговини на мало у Републици Србији, јануар 2003</dc:title>
</cp:coreProperties>
</file>