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279728" Type="http://schemas.openxmlformats.org/officeDocument/2006/relationships/officeDocument" Target="/word/document.xml" /><Relationship Id="coreR4F2797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color w:val="808080"/>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387"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3062" w:type="dxa"/>
            <w:tcBorders>
              <w:top w:val="single" w:sz="18" w:space="0" w:shadow="0" w:frame="0" w:color="808080"/>
              <w:bottom w:val="none" w:sz="0" w:space="0" w:shadow="0" w:frame="0"/>
              <w:right w:val="none" w:sz="0" w:space="0" w:shadow="0" w:frame="0"/>
            </w:tcBorders>
            <w:vAlign w:val="center"/>
          </w:tcPr>
          <w:p>
            <w:pPr>
              <w:rPr>
                <w:b w:val="1"/>
                <w:color w:val="808080"/>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color w:val="808080"/>
              </w:rPr>
            </w:pPr>
          </w:p>
        </w:tc>
        <w:tc>
          <w:tcPr>
            <w:tcW w:w="5387" w:type="dxa"/>
            <w:vMerge w:val="continue"/>
            <w:tcBorders>
              <w:top w:val="none" w:sz="0" w:space="0" w:shadow="0" w:frame="0"/>
              <w:left w:val="none" w:sz="0" w:space="0" w:shadow="0" w:frame="0"/>
              <w:bottom w:val="none" w:sz="0" w:space="0" w:shadow="0" w:frame="0"/>
            </w:tcBorders>
            <w:vAlign w:val="center"/>
          </w:tcPr>
          <w:p>
            <w:pPr>
              <w:pStyle w:val="P1"/>
              <w:ind w:left="144"/>
              <w:rPr>
                <w:b w:val="1"/>
                <w:color w:val="808080"/>
              </w:rPr>
            </w:pPr>
          </w:p>
        </w:tc>
        <w:tc>
          <w:tcPr>
            <w:tcW w:w="3062" w:type="dxa"/>
            <w:tcBorders>
              <w:top w:val="none" w:sz="0" w:space="0" w:shadow="0" w:frame="0"/>
              <w:bottom w:val="none" w:sz="0" w:space="0" w:shadow="0" w:frame="0"/>
              <w:right w:val="none" w:sz="0" w:space="0" w:shadow="0" w:frame="0"/>
            </w:tcBorders>
            <w:vAlign w:val="center"/>
          </w:tcPr>
          <w:p>
            <w:pPr>
              <w:pStyle w:val="P2"/>
              <w:jc w:val="right"/>
              <w:rPr>
                <w:b w:val="1"/>
              </w:rPr>
            </w:pPr>
            <w:r>
              <w:rPr>
                <w:b w:val="0"/>
              </w:rPr>
              <w:t>ISSN 0353-9555</w:t>
            </w:r>
          </w:p>
        </w:tc>
      </w:tr>
      <w:tr>
        <w:trPr>
          <w:wAfter w:w="0" w:type="dxa"/>
          <w:trHeight w:hRule="atLeast" w:val="855"/>
        </w:trPr>
        <w:tc>
          <w:tcPr>
            <w:tcW w:w="7130"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3062"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PS10</w:t>
            </w:r>
          </w:p>
        </w:tc>
      </w:tr>
      <w:tr>
        <w:trPr>
          <w:wAfter w:w="0" w:type="dxa"/>
          <w:trHeight w:hRule="exact" w:val="285"/>
        </w:trPr>
        <w:tc>
          <w:tcPr>
            <w:tcW w:w="7130"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099 – Year LXIII, 15/04/2013</w:t>
            </w:r>
          </w:p>
        </w:tc>
        <w:tc>
          <w:tcPr>
            <w:tcW w:w="3062"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color w:val="808080"/>
                <w:sz w:val="48"/>
              </w:rPr>
            </w:pPr>
          </w:p>
        </w:tc>
      </w:tr>
      <w:tr>
        <w:trPr>
          <w:wAfter w:w="0" w:type="dxa"/>
          <w:trHeight w:hRule="exact" w:val="305"/>
        </w:trPr>
        <w:tc>
          <w:tcPr>
            <w:tcW w:w="7130" w:type="dxa"/>
            <w:gridSpan w:val="2"/>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Style w:val="C3"/>
                <w:rFonts w:ascii="Arial" w:hAnsi="Arial"/>
              </w:rPr>
              <w:t>Quarterly business activities of enterprises</w:t>
            </w:r>
          </w:p>
        </w:tc>
        <w:tc>
          <w:tcPr>
            <w:tcW w:w="3062" w:type="dxa"/>
            <w:tcBorders>
              <w:top w:val="none" w:sz="0" w:space="0" w:shadow="0" w:frame="0"/>
              <w:left w:val="none" w:sz="0" w:space="0" w:shadow="0" w:frame="0"/>
              <w:bottom w:val="single" w:sz="18" w:space="0" w:shadow="0" w:frame="0" w:color="808080"/>
              <w:right w:val="none" w:sz="0" w:space="0" w:shadow="0" w:frame="0"/>
            </w:tcBorders>
            <w:vAlign w:val="center"/>
          </w:tcPr>
          <w:p>
            <w:pPr>
              <w:pStyle w:val="P3"/>
              <w:jc w:val="right"/>
              <w:rPr>
                <w:b w:val="1"/>
              </w:rPr>
            </w:pPr>
            <w:r>
              <w:rPr>
                <w:b w:val="0"/>
                <w:sz w:val="20"/>
              </w:rPr>
              <w:t>SERB</w:t>
            </w:r>
            <w:r>
              <w:rPr>
                <w:b w:val="0"/>
                <w:sz w:val="20"/>
              </w:rPr>
              <w:t>099</w:t>
            </w:r>
            <w:r>
              <w:rPr>
                <w:b w:val="0"/>
                <w:sz w:val="20"/>
              </w:rPr>
              <w:t xml:space="preserve"> PS10 1</w:t>
            </w:r>
            <w:r>
              <w:rPr>
                <w:b w:val="0"/>
                <w:sz w:val="20"/>
              </w:rPr>
              <w:t>5</w:t>
            </w:r>
            <w:r>
              <w:rPr>
                <w:b w:val="0"/>
                <w:sz w:val="20"/>
              </w:rPr>
              <w:t>0413</w:t>
            </w:r>
          </w:p>
        </w:tc>
      </w:tr>
    </w:tbl>
    <w:p>
      <w:pPr>
        <w:spacing w:lineRule="auto" w:line="233" w:before="600"/>
        <w:jc w:val="center"/>
        <w:rPr>
          <w:rFonts w:ascii="Arial" w:hAnsi="Arial"/>
          <w:b w:val="1"/>
        </w:rPr>
      </w:pPr>
      <w:r>
        <w:rPr>
          <w:rFonts w:ascii="Arial" w:hAnsi="Arial"/>
          <w:b w:val="1"/>
        </w:rPr>
        <w:t>Quarterly business activities of enterprises in the Republic of Serbia</w:t>
      </w:r>
    </w:p>
    <w:p>
      <w:pPr>
        <w:spacing w:lineRule="auto" w:line="233" w:before="120" w:after="120"/>
        <w:jc w:val="center"/>
        <w:rPr>
          <w:rFonts w:ascii="Arial" w:hAnsi="Arial"/>
          <w:b w:val="1"/>
        </w:rPr>
      </w:pPr>
      <w:r>
        <w:rPr>
          <w:rFonts w:ascii="Arial" w:hAnsi="Arial"/>
          <w:b w:val="1"/>
        </w:rPr>
        <w:t>I</w:t>
      </w:r>
      <w:r>
        <w:rPr>
          <w:rFonts w:ascii="Arial" w:hAnsi="Arial"/>
          <w:b w:val="1"/>
        </w:rPr>
        <w:t>V</w:t>
      </w:r>
      <w:r>
        <w:rPr>
          <w:rFonts w:ascii="Arial" w:hAnsi="Arial"/>
          <w:b w:val="1"/>
        </w:rPr>
        <w:t xml:space="preserve"> </w:t>
      </w:r>
      <w:r>
        <w:rPr>
          <w:rFonts w:ascii="Arial" w:hAnsi="Arial"/>
          <w:b w:val="1"/>
        </w:rPr>
        <w:t>quarter 201</w:t>
      </w:r>
      <w:r>
        <w:rPr>
          <w:rFonts w:ascii="Arial" w:hAnsi="Arial"/>
          <w:b w:val="1"/>
        </w:rPr>
        <w:t>2</w:t>
      </w:r>
    </w:p>
    <w:p>
      <w:pPr>
        <w:spacing w:lineRule="auto" w:line="233" w:after="240"/>
        <w:jc w:val="center"/>
        <w:rPr>
          <w:rFonts w:ascii="Arial" w:hAnsi="Arial"/>
          <w:b w:val="1"/>
          <w:sz w:val="22"/>
        </w:rPr>
      </w:pPr>
      <w:r>
        <w:rPr>
          <w:rFonts w:ascii="Arial" w:hAnsi="Arial"/>
          <w:b w:val="1"/>
          <w:sz w:val="22"/>
        </w:rPr>
        <w:t xml:space="preserve">– </w:t>
      </w:r>
      <w:r>
        <w:rPr>
          <w:rFonts w:ascii="Arial" w:hAnsi="Arial"/>
          <w:b w:val="1"/>
          <w:sz w:val="22"/>
        </w:rPr>
        <w:t xml:space="preserve">Preliminary data </w:t>
      </w:r>
      <w:r>
        <w:rPr>
          <w:rFonts w:ascii="Arial" w:hAnsi="Arial"/>
          <w:b w:val="1"/>
          <w:sz w:val="22"/>
        </w:rPr>
        <w:t xml:space="preserve">– </w:t>
      </w:r>
      <w:r>
        <w:rPr>
          <w:rFonts w:ascii="Arial" w:hAnsi="Arial"/>
          <w:b w:val="1"/>
          <w:sz w:val="22"/>
        </w:rPr>
        <w:t xml:space="preserve"> </w:t>
      </w:r>
    </w:p>
    <w:p>
      <w:pPr>
        <w:spacing w:lineRule="auto" w:line="233" w:before="120"/>
        <w:ind w:firstLine="397"/>
        <w:jc w:val="both"/>
        <w:rPr>
          <w:rFonts w:ascii="Arial" w:hAnsi="Arial"/>
          <w:sz w:val="20"/>
        </w:rPr>
      </w:pPr>
      <w:r>
        <w:rPr>
          <w:rFonts w:ascii="Arial" w:hAnsi="Arial"/>
          <w:sz w:val="20"/>
        </w:rPr>
        <w:t xml:space="preserve">Operating income in non-financial business economy in the Republic of Serbia in the fourth quarter of 2012 increased by 3.4% relative to the same period of the previous year, while compared to the third quarter of 2012, the increase of 8% was noted. </w:t>
      </w:r>
    </w:p>
    <w:p>
      <w:pPr>
        <w:spacing w:lineRule="auto" w:line="233" w:before="120"/>
        <w:ind w:firstLine="397"/>
        <w:jc w:val="both"/>
        <w:rPr>
          <w:b w:val="1"/>
          <w:sz w:val="16"/>
        </w:rPr>
      </w:pPr>
      <w:r>
        <w:rPr>
          <w:rFonts w:ascii="Arial" w:hAnsi="Arial"/>
          <w:sz w:val="20"/>
        </w:rPr>
        <w:t>Operating costs in non-financial business economy in the fourth quarter of 2012 increased by 2.2% relative to the same period of the previous year, while compared to the third quarter of 2012, the increase of 13.4% was noted.</w:t>
      </w:r>
      <w:r>
        <w:rPr>
          <w:b w:val="1"/>
          <w:sz w:val="16"/>
        </w:rPr>
        <w:t xml:space="preserve"> </w:t>
      </w:r>
    </w:p>
    <w:p>
      <w:pPr>
        <w:spacing w:lineRule="auto" w:line="233" w:before="360" w:after="120"/>
        <w:ind w:firstLine="397"/>
        <w:jc w:val="center"/>
        <w:rPr>
          <w:rFonts w:ascii="Arial" w:hAnsi="Arial"/>
          <w:b w:val="1"/>
          <w:sz w:val="20"/>
        </w:rPr>
      </w:pPr>
      <w:r>
        <w:rPr>
          <w:rFonts w:ascii="Arial" w:hAnsi="Arial"/>
          <w:b w:val="1"/>
          <w:sz w:val="20"/>
        </w:rPr>
        <w:t>Indices of operating income and costs in non-financial business economy</w:t>
      </w:r>
    </w:p>
    <w:p>
      <w:pPr>
        <w:spacing w:lineRule="auto" w:line="233"/>
        <w:rPr>
          <w:rFonts w:ascii="Arial" w:hAnsi="Arial"/>
          <w:b w:val="1"/>
          <w:sz w:val="18"/>
        </w:rPr>
      </w:pPr>
      <w:r>
        <w:rPr>
          <w:rFonts w:ascii="Arial" w:hAnsi="Arial"/>
          <w:b w:val="1"/>
          <w:sz w:val="18"/>
        </w:rPr>
        <w:t>Republic of Serbia</w:t>
      </w:r>
      <w:r>
        <w:rPr>
          <w:rFonts w:ascii="Arial" w:hAnsi="Arial"/>
          <w:b w:val="1"/>
          <w:sz w:val="18"/>
          <w:vertAlign w:val="superscript"/>
        </w:rPr>
        <w:t>1)</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gridAfter w:val="1"/>
          <w:wAfter w:w="14" w:type="dxa"/>
          <w:trHeight w:hRule="exact" w:val="454"/>
        </w:trPr>
        <w:tc>
          <w:tcPr>
            <w:tcW w:w="4082" w:type="dxa"/>
            <w:tcBorders>
              <w:top w:val="single" w:sz="4" w:space="0" w:shadow="0" w:frame="0"/>
              <w:bottom w:val="single" w:sz="4" w:space="0" w:shadow="0" w:frame="0"/>
              <w:right w:val="single" w:sz="4" w:space="0" w:shadow="0" w:frame="0"/>
            </w:tcBorders>
            <w:vAlign w:val="center"/>
          </w:tcPr>
          <w:p>
            <w:pPr>
              <w:pStyle w:val="P7"/>
              <w:spacing w:lineRule="auto" w:line="233" w:before="200" w:after="200"/>
              <w:rPr>
                <w:sz w:val="18"/>
              </w:rPr>
            </w:pPr>
          </w:p>
        </w:tc>
        <w:tc>
          <w:tcPr>
            <w:tcW w:w="303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33" w:before="120" w:after="120"/>
              <w:jc w:val="center"/>
              <w:rPr>
                <w:rFonts w:ascii="Arial" w:hAnsi="Arial"/>
                <w:sz w:val="18"/>
              </w:rPr>
            </w:pPr>
            <w:r>
              <w:rPr>
                <w:rFonts w:ascii="Arial" w:hAnsi="Arial"/>
                <w:sz w:val="18"/>
              </w:rPr>
              <w:t>IV quarter 2012/ IV quarter 2011</w:t>
            </w:r>
          </w:p>
        </w:tc>
        <w:tc>
          <w:tcPr>
            <w:tcW w:w="3031" w:type="dxa"/>
            <w:tcBorders>
              <w:top w:val="single" w:sz="4" w:space="0" w:shadow="0" w:frame="0"/>
              <w:left w:val="single" w:sz="4" w:space="0" w:shadow="0" w:frame="0"/>
              <w:bottom w:val="single" w:sz="4" w:space="0" w:shadow="0" w:frame="0"/>
            </w:tcBorders>
            <w:vAlign w:val="center"/>
          </w:tcPr>
          <w:p>
            <w:pPr>
              <w:spacing w:lineRule="auto" w:line="233" w:before="120" w:after="120"/>
              <w:jc w:val="center"/>
              <w:rPr>
                <w:rFonts w:ascii="Arial" w:hAnsi="Arial"/>
                <w:sz w:val="18"/>
              </w:rPr>
            </w:pPr>
            <w:r>
              <w:rPr>
                <w:rFonts w:ascii="Arial" w:hAnsi="Arial"/>
                <w:sz w:val="18"/>
              </w:rPr>
              <w:t>IV quarter 2012/ III quarter 2012</w:t>
            </w:r>
          </w:p>
        </w:tc>
      </w:tr>
      <w:tr>
        <w:trPr>
          <w:wAfter w:w="0" w:type="dxa"/>
          <w:trHeight w:hRule="exact" w:val="340"/>
        </w:trPr>
        <w:tc>
          <w:tcPr>
            <w:tcW w:w="10158" w:type="dxa"/>
            <w:gridSpan w:val="4"/>
            <w:vAlign w:val="center"/>
          </w:tcPr>
          <w:p>
            <w:pPr>
              <w:spacing w:lineRule="auto" w:line="233"/>
              <w:jc w:val="center"/>
              <w:rPr>
                <w:rFonts w:ascii="Arial" w:hAnsi="Arial"/>
                <w:b w:val="1"/>
                <w:sz w:val="16"/>
              </w:rPr>
            </w:pPr>
            <w:r>
              <w:rPr>
                <w:rFonts w:ascii="Arial" w:hAnsi="Arial"/>
                <w:b w:val="1"/>
                <w:sz w:val="16"/>
              </w:rPr>
              <w:t>Operating</w:t>
            </w:r>
            <w:r>
              <w:rPr>
                <w:rFonts w:ascii="Arial" w:hAnsi="Arial"/>
                <w:b w:val="1"/>
                <w:sz w:val="16"/>
              </w:rPr>
              <w:t xml:space="preserve"> income</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b w:val="1"/>
                <w:sz w:val="16"/>
              </w:rPr>
            </w:pPr>
            <w:r>
              <w:rPr>
                <w:rFonts w:ascii="Arial" w:hAnsi="Arial"/>
                <w:b w:val="1"/>
                <w:sz w:val="16"/>
              </w:rPr>
              <w:t>TOTAL</w:t>
            </w:r>
          </w:p>
        </w:tc>
        <w:tc>
          <w:tcPr>
            <w:tcW w:w="3031" w:type="dxa"/>
            <w:tcBorders>
              <w:left w:val="single" w:sz="4" w:space="0" w:shadow="0" w:frame="0"/>
              <w:right w:val="single" w:sz="4" w:space="0" w:shadow="0" w:frame="0"/>
            </w:tcBorders>
            <w:vAlign w:val="bottom"/>
          </w:tcPr>
          <w:p>
            <w:pPr>
              <w:ind w:right="1134"/>
              <w:jc w:val="right"/>
              <w:rPr>
                <w:rFonts w:ascii="Arial" w:hAnsi="Arial"/>
                <w:b w:val="1"/>
                <w:sz w:val="16"/>
              </w:rPr>
            </w:pPr>
            <w:r>
              <w:rPr>
                <w:rFonts w:ascii="Arial" w:hAnsi="Arial"/>
                <w:b w:val="1"/>
                <w:sz w:val="16"/>
              </w:rPr>
              <w:t>103</w:t>
            </w:r>
            <w:r>
              <w:rPr>
                <w:rFonts w:ascii="Arial" w:hAnsi="Arial"/>
                <w:b w:val="1"/>
                <w:sz w:val="16"/>
              </w:rPr>
              <w:t>.</w:t>
            </w:r>
            <w:r>
              <w:rPr>
                <w:rFonts w:ascii="Arial" w:hAnsi="Arial"/>
                <w:b w:val="1"/>
                <w:sz w:val="16"/>
              </w:rPr>
              <w:t>4</w:t>
            </w:r>
          </w:p>
        </w:tc>
        <w:tc>
          <w:tcPr>
            <w:tcW w:w="3045" w:type="dxa"/>
            <w:gridSpan w:val="2"/>
            <w:tcBorders>
              <w:left w:val="single" w:sz="4" w:space="0" w:shadow="0" w:frame="0"/>
            </w:tcBorders>
            <w:vAlign w:val="bottom"/>
          </w:tcPr>
          <w:p>
            <w:pPr>
              <w:ind w:right="1134"/>
              <w:jc w:val="right"/>
              <w:rPr>
                <w:rFonts w:ascii="Arial" w:hAnsi="Arial"/>
                <w:b w:val="1"/>
                <w:sz w:val="16"/>
              </w:rPr>
            </w:pPr>
            <w:r>
              <w:rPr>
                <w:rFonts w:ascii="Arial" w:hAnsi="Arial"/>
                <w:b w:val="1"/>
                <w:sz w:val="16"/>
              </w:rPr>
              <w:t>108</w:t>
            </w:r>
            <w:r>
              <w:rPr>
                <w:rFonts w:ascii="Arial" w:hAnsi="Arial"/>
                <w:b w:val="1"/>
                <w:sz w:val="16"/>
              </w:rPr>
              <w:t>.</w:t>
            </w:r>
            <w:r>
              <w:rPr>
                <w:rFonts w:ascii="Arial" w:hAnsi="Arial"/>
                <w:b w:val="1"/>
                <w:sz w:val="16"/>
              </w:rPr>
              <w:t>0</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p>
        </w:tc>
        <w:tc>
          <w:tcPr>
            <w:tcW w:w="3031" w:type="dxa"/>
            <w:tcBorders>
              <w:left w:val="single" w:sz="4" w:space="0" w:shadow="0" w:frame="0"/>
              <w:right w:val="single" w:sz="4" w:space="0" w:shadow="0" w:frame="0"/>
            </w:tcBorders>
            <w:vAlign w:val="bottom"/>
          </w:tcPr>
          <w:p>
            <w:pPr>
              <w:ind w:right="1134"/>
              <w:jc w:val="right"/>
              <w:rPr>
                <w:rFonts w:ascii="Arial" w:hAnsi="Arial"/>
                <w:sz w:val="16"/>
              </w:rPr>
            </w:pPr>
          </w:p>
        </w:tc>
        <w:tc>
          <w:tcPr>
            <w:tcW w:w="3045" w:type="dxa"/>
            <w:gridSpan w:val="2"/>
            <w:tcBorders>
              <w:left w:val="single" w:sz="4" w:space="0" w:shadow="0" w:frame="0"/>
            </w:tcBorders>
            <w:vAlign w:val="bottom"/>
          </w:tcPr>
          <w:p>
            <w:pPr>
              <w:ind w:right="1134"/>
              <w:jc w:val="right"/>
              <w:rPr>
                <w:rFonts w:ascii="Arial" w:hAnsi="Arial"/>
                <w:sz w:val="16"/>
              </w:rPr>
            </w:pP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 xml:space="preserve">Agriculture,  forestry and fishing</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92.2</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89.3</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Industry and construction</w:t>
            </w:r>
            <w:r>
              <w:rPr>
                <w:rFonts w:ascii="Arial" w:hAnsi="Arial"/>
                <w:sz w:val="16"/>
                <w:vertAlign w:val="superscript"/>
              </w:rPr>
              <w:t>2)</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100.6</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107.6</w:t>
            </w:r>
          </w:p>
        </w:tc>
      </w:tr>
      <w:tr>
        <w:trPr>
          <w:wAfter w:w="0" w:type="dxa"/>
          <w:trHeight w:hRule="atLeas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Services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 xml:space="preserve">                            106.9</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110.0</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Trade </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109.9</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106.2</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Transportation and storage </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107.2</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139.0</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Accommodation and food service activities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131.5</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100.6</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Information and communications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98.1</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100.2</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Real estate activities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82.6</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91.6</w:t>
            </w:r>
          </w:p>
        </w:tc>
      </w:tr>
      <w:tr>
        <w:trPr>
          <w:wAfter w:w="0" w:type="dxa"/>
          <w:trHeight w:hRule="atLeas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Other services</w:t>
            </w:r>
            <w:r>
              <w:rPr>
                <w:rFonts w:ascii="Arial" w:hAnsi="Arial"/>
                <w:sz w:val="16"/>
                <w:vertAlign w:val="superscript"/>
              </w:rPr>
              <w:t xml:space="preserve"> 3)</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93.9</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114.4</w:t>
            </w:r>
          </w:p>
        </w:tc>
      </w:tr>
      <w:tr>
        <w:trPr>
          <w:wAfter w:w="0" w:type="dxa"/>
          <w:trHeight w:hRule="exact" w:val="340"/>
        </w:trPr>
        <w:tc>
          <w:tcPr>
            <w:tcW w:w="10158" w:type="dxa"/>
            <w:gridSpan w:val="4"/>
            <w:vAlign w:val="center"/>
          </w:tcPr>
          <w:p>
            <w:pPr>
              <w:spacing w:lineRule="auto" w:line="233"/>
              <w:jc w:val="center"/>
              <w:rPr>
                <w:rFonts w:ascii="Arial" w:hAnsi="Arial"/>
                <w:b w:val="1"/>
                <w:sz w:val="16"/>
              </w:rPr>
            </w:pPr>
            <w:r>
              <w:rPr>
                <w:rFonts w:ascii="Arial" w:hAnsi="Arial"/>
                <w:b w:val="1"/>
                <w:sz w:val="16"/>
              </w:rPr>
              <w:t>Operating costs</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b w:val="1"/>
                <w:sz w:val="16"/>
              </w:rPr>
            </w:pPr>
            <w:r>
              <w:rPr>
                <w:rFonts w:ascii="Arial" w:hAnsi="Arial"/>
                <w:b w:val="1"/>
                <w:sz w:val="16"/>
              </w:rPr>
              <w:t>TOTAL</w:t>
            </w:r>
          </w:p>
        </w:tc>
        <w:tc>
          <w:tcPr>
            <w:tcW w:w="3031" w:type="dxa"/>
            <w:tcBorders>
              <w:left w:val="single" w:sz="4" w:space="0" w:shadow="0" w:frame="0"/>
              <w:right w:val="single" w:sz="4" w:space="0" w:shadow="0" w:frame="0"/>
            </w:tcBorders>
            <w:vAlign w:val="bottom"/>
          </w:tcPr>
          <w:p>
            <w:pPr>
              <w:ind w:right="1134"/>
              <w:jc w:val="right"/>
              <w:rPr>
                <w:rFonts w:ascii="Arial" w:hAnsi="Arial"/>
                <w:b w:val="1"/>
                <w:sz w:val="16"/>
              </w:rPr>
            </w:pPr>
            <w:r>
              <w:rPr>
                <w:rFonts w:ascii="Arial" w:hAnsi="Arial"/>
                <w:b w:val="1"/>
                <w:sz w:val="16"/>
              </w:rPr>
              <w:t>102</w:t>
            </w:r>
            <w:r>
              <w:rPr>
                <w:rFonts w:ascii="Arial" w:hAnsi="Arial"/>
                <w:b w:val="1"/>
                <w:sz w:val="16"/>
              </w:rPr>
              <w:t>.</w:t>
            </w:r>
            <w:r>
              <w:rPr>
                <w:rFonts w:ascii="Arial" w:hAnsi="Arial"/>
                <w:b w:val="1"/>
                <w:sz w:val="16"/>
              </w:rPr>
              <w:t>2</w:t>
            </w:r>
          </w:p>
        </w:tc>
        <w:tc>
          <w:tcPr>
            <w:tcW w:w="3045" w:type="dxa"/>
            <w:gridSpan w:val="2"/>
            <w:tcBorders>
              <w:left w:val="single" w:sz="4" w:space="0" w:shadow="0" w:frame="0"/>
            </w:tcBorders>
            <w:vAlign w:val="bottom"/>
          </w:tcPr>
          <w:p>
            <w:pPr>
              <w:ind w:right="1134"/>
              <w:jc w:val="right"/>
              <w:rPr>
                <w:rFonts w:ascii="Arial" w:hAnsi="Arial"/>
                <w:b w:val="1"/>
                <w:sz w:val="16"/>
              </w:rPr>
            </w:pPr>
            <w:r>
              <w:rPr>
                <w:rFonts w:ascii="Arial" w:hAnsi="Arial"/>
                <w:b w:val="1"/>
                <w:sz w:val="16"/>
              </w:rPr>
              <w:t>113</w:t>
            </w:r>
            <w:r>
              <w:rPr>
                <w:rFonts w:ascii="Arial" w:hAnsi="Arial"/>
                <w:b w:val="1"/>
                <w:sz w:val="16"/>
              </w:rPr>
              <w:t>.</w:t>
            </w:r>
            <w:r>
              <w:rPr>
                <w:rFonts w:ascii="Arial" w:hAnsi="Arial"/>
                <w:b w:val="1"/>
                <w:sz w:val="16"/>
              </w:rPr>
              <w:t>4</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p>
        </w:tc>
        <w:tc>
          <w:tcPr>
            <w:tcW w:w="3031" w:type="dxa"/>
            <w:tcBorders>
              <w:left w:val="single" w:sz="4" w:space="0" w:shadow="0" w:frame="0"/>
              <w:right w:val="single" w:sz="4" w:space="0" w:shadow="0" w:frame="0"/>
            </w:tcBorders>
            <w:vAlign w:val="bottom"/>
          </w:tcPr>
          <w:p>
            <w:pPr>
              <w:ind w:right="1134"/>
              <w:jc w:val="right"/>
              <w:rPr>
                <w:rFonts w:ascii="Arial" w:hAnsi="Arial"/>
                <w:sz w:val="16"/>
              </w:rPr>
            </w:pPr>
          </w:p>
        </w:tc>
        <w:tc>
          <w:tcPr>
            <w:tcW w:w="3045" w:type="dxa"/>
            <w:gridSpan w:val="2"/>
            <w:tcBorders>
              <w:left w:val="single" w:sz="4" w:space="0" w:shadow="0" w:frame="0"/>
            </w:tcBorders>
            <w:vAlign w:val="bottom"/>
          </w:tcPr>
          <w:p>
            <w:pPr>
              <w:ind w:right="1134"/>
              <w:jc w:val="right"/>
              <w:rPr>
                <w:rFonts w:ascii="Arial" w:hAnsi="Arial"/>
                <w:sz w:val="16"/>
              </w:rPr>
            </w:pP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 xml:space="preserve">Agriculture,  forestry and fishing</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93.1</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93.1</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Industry and construction</w:t>
            </w:r>
            <w:r>
              <w:rPr>
                <w:rFonts w:ascii="Arial" w:hAnsi="Arial"/>
                <w:sz w:val="16"/>
                <w:vertAlign w:val="superscript"/>
              </w:rPr>
              <w:t>2)</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98.4</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117.8</w:t>
            </w:r>
          </w:p>
        </w:tc>
      </w:tr>
      <w:tr>
        <w:trPr>
          <w:wAfter w:w="0" w:type="dxa"/>
          <w:trHeight w:hRule="exact" w:val="227"/>
        </w:trPr>
        <w:tc>
          <w:tcPr>
            <w:tcW w:w="4082" w:type="dxa"/>
            <w:tcBorders>
              <w:right w:val="single" w:sz="4" w:space="0" w:shadow="0" w:frame="0"/>
            </w:tcBorders>
            <w:vAlign w:val="bottom"/>
          </w:tcPr>
          <w:p>
            <w:pPr>
              <w:spacing w:lineRule="auto" w:line="233"/>
              <w:rPr>
                <w:rFonts w:ascii="Arial" w:hAnsi="Arial"/>
                <w:sz w:val="16"/>
              </w:rPr>
            </w:pPr>
            <w:r>
              <w:rPr>
                <w:rFonts w:ascii="Arial" w:hAnsi="Arial"/>
                <w:sz w:val="16"/>
              </w:rPr>
              <w:t>Services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 xml:space="preserve">                            106.5</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111.5</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Trade </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109.7</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105.0</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 xml:space="preserve">Transportation and storage </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106.8</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148.4</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Accommodation and food service activities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112.9</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105.8</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Information and communications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93.3</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104.7</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Real estate activities</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94.8</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127.4</w:t>
            </w:r>
          </w:p>
        </w:tc>
      </w:tr>
      <w:tr>
        <w:trPr>
          <w:wAfter w:w="0" w:type="dxa"/>
          <w:trHeight w:hRule="exact" w:val="227"/>
        </w:trPr>
        <w:tc>
          <w:tcPr>
            <w:tcW w:w="4082" w:type="dxa"/>
            <w:tcBorders>
              <w:right w:val="single" w:sz="4" w:space="0" w:shadow="0" w:frame="0"/>
            </w:tcBorders>
            <w:vAlign w:val="bottom"/>
          </w:tcPr>
          <w:p>
            <w:pPr>
              <w:spacing w:lineRule="auto" w:line="233"/>
              <w:ind w:left="284"/>
              <w:rPr>
                <w:rFonts w:ascii="Arial" w:hAnsi="Arial"/>
                <w:sz w:val="16"/>
              </w:rPr>
            </w:pPr>
            <w:r>
              <w:rPr>
                <w:rFonts w:ascii="Arial" w:hAnsi="Arial"/>
                <w:sz w:val="16"/>
              </w:rPr>
              <w:t>Other services</w:t>
            </w:r>
            <w:r>
              <w:rPr>
                <w:rFonts w:ascii="Arial" w:hAnsi="Arial"/>
                <w:sz w:val="16"/>
                <w:vertAlign w:val="superscript"/>
              </w:rPr>
              <w:t xml:space="preserve"> 3)</w:t>
            </w:r>
          </w:p>
        </w:tc>
        <w:tc>
          <w:tcPr>
            <w:tcW w:w="3031" w:type="dxa"/>
            <w:tcBorders>
              <w:left w:val="single" w:sz="4" w:space="0" w:shadow="0" w:frame="0"/>
              <w:right w:val="single" w:sz="4" w:space="0" w:shadow="0" w:frame="0"/>
            </w:tcBorders>
            <w:vAlign w:val="bottom"/>
          </w:tcPr>
          <w:p>
            <w:pPr>
              <w:ind w:right="1134"/>
              <w:jc w:val="right"/>
              <w:rPr>
                <w:rFonts w:ascii="Arial" w:hAnsi="Arial"/>
                <w:sz w:val="16"/>
              </w:rPr>
            </w:pPr>
            <w:r>
              <w:rPr>
                <w:rFonts w:ascii="Arial" w:hAnsi="Arial"/>
                <w:sz w:val="16"/>
              </w:rPr>
              <w:t>94.1</w:t>
            </w:r>
          </w:p>
        </w:tc>
        <w:tc>
          <w:tcPr>
            <w:tcW w:w="3045" w:type="dxa"/>
            <w:gridSpan w:val="2"/>
            <w:tcBorders>
              <w:left w:val="single" w:sz="4" w:space="0" w:shadow="0" w:frame="0"/>
            </w:tcBorders>
            <w:vAlign w:val="bottom"/>
          </w:tcPr>
          <w:p>
            <w:pPr>
              <w:ind w:right="1134"/>
              <w:jc w:val="right"/>
              <w:rPr>
                <w:rFonts w:ascii="Arial" w:hAnsi="Arial"/>
                <w:sz w:val="16"/>
              </w:rPr>
            </w:pPr>
            <w:r>
              <w:rPr>
                <w:rFonts w:ascii="Arial" w:hAnsi="Arial"/>
                <w:sz w:val="16"/>
              </w:rPr>
              <w:t>124.9</w:t>
            </w:r>
          </w:p>
        </w:tc>
      </w:tr>
    </w:tbl>
    <w:p>
      <w:pPr>
        <w:spacing w:lineRule="auto" w:line="233"/>
        <w:ind w:hanging="142" w:left="142"/>
        <w:rPr>
          <w:rFonts w:ascii="Arial" w:hAnsi="Arial"/>
          <w:sz w:val="18"/>
          <w:vertAlign w:val="superscript"/>
        </w:rPr>
      </w:pPr>
    </w:p>
    <w:p>
      <w:pPr>
        <w:spacing w:lineRule="auto" w:line="233"/>
        <w:ind w:hanging="142" w:left="142"/>
        <w:rPr>
          <w:rFonts w:ascii="Arial" w:hAnsi="Arial"/>
          <w:sz w:val="18"/>
          <w:vertAlign w:val="superscript"/>
        </w:rPr>
      </w:pPr>
    </w:p>
    <w:p>
      <w:pPr>
        <w:spacing w:lineRule="auto" w:line="233"/>
        <w:ind w:hanging="142" w:left="142"/>
        <w:rPr>
          <w:rFonts w:ascii="Arial" w:hAnsi="Arial"/>
          <w:sz w:val="14"/>
          <w:vertAlign w:val="superscript"/>
        </w:rPr>
      </w:pPr>
      <w:r>
        <w:rPr>
          <w:rFonts w:ascii="Arial" w:hAnsi="Arial"/>
          <w:sz w:val="14"/>
          <w:vertAlign w:val="superscript"/>
        </w:rPr>
        <w:t xml:space="preserve">1)   </w:t>
      </w:r>
      <w:r>
        <w:rPr>
          <w:rFonts w:ascii="Arial" w:hAnsi="Arial"/>
          <w:sz w:val="14"/>
        </w:rPr>
        <w:t>Without data for AP Kosovo and Metohia.</w:t>
      </w:r>
    </w:p>
    <w:p>
      <w:pPr>
        <w:spacing w:lineRule="auto" w:line="233"/>
        <w:ind w:hanging="142" w:left="142"/>
        <w:rPr>
          <w:rFonts w:ascii="Arial" w:hAnsi="Arial"/>
          <w:sz w:val="14"/>
        </w:rPr>
      </w:pPr>
      <w:r>
        <w:rPr>
          <w:rFonts w:ascii="Arial" w:hAnsi="Arial"/>
          <w:sz w:val="14"/>
          <w:vertAlign w:val="superscript"/>
        </w:rPr>
        <w:t xml:space="preserve">2)  </w:t>
      </w:r>
      <w:r>
        <w:rPr>
          <w:rFonts w:ascii="Arial" w:hAnsi="Arial"/>
          <w:sz w:val="14"/>
        </w:rPr>
        <w:t xml:space="preserve">Covers: mining and quarrying; manufacturing; electricity, gas, steam and conditioning supply; water supply, sewerage, waste management and remediation activities and construction. </w:t>
      </w:r>
    </w:p>
    <w:p>
      <w:pPr>
        <w:spacing w:lineRule="auto" w:line="233"/>
        <w:ind w:hanging="142" w:left="142"/>
        <w:rPr>
          <w:rFonts w:ascii="Arial" w:hAnsi="Arial"/>
          <w:sz w:val="14"/>
        </w:rPr>
      </w:pPr>
      <w:r>
        <w:rPr>
          <w:rFonts w:ascii="Arial" w:hAnsi="Arial"/>
          <w:sz w:val="16"/>
          <w:vertAlign w:val="superscript"/>
        </w:rPr>
        <w:t>3)</w:t>
      </w:r>
      <w:r>
        <w:rPr>
          <w:rFonts w:ascii="Arial" w:hAnsi="Arial"/>
          <w:sz w:val="14"/>
        </w:rPr>
        <w:t xml:space="preserve"> Covers: professional, scientific and technical activities; administrative and support service activities; education, human health and social work activities</w:t>
      </w:r>
      <w:r>
        <w:rPr>
          <w:rFonts w:ascii="Verdana" w:hAnsi="Verdana"/>
          <w:sz w:val="16"/>
        </w:rPr>
        <w:t>;</w:t>
      </w:r>
      <w:r>
        <w:rPr>
          <w:rFonts w:ascii="Arial" w:hAnsi="Arial"/>
          <w:sz w:val="16"/>
        </w:rPr>
        <w:t xml:space="preserve"> </w:t>
      </w:r>
      <w:r>
        <w:rPr>
          <w:rFonts w:ascii="Arial" w:hAnsi="Arial"/>
          <w:sz w:val="14"/>
        </w:rPr>
        <w:t>arts, entertainment and recreation and other service activities.</w:t>
      </w:r>
    </w:p>
    <w:p>
      <w:pPr>
        <w:pStyle w:val="P11"/>
        <w:spacing w:before="480"/>
        <w:rPr>
          <w:sz w:val="22"/>
        </w:rPr>
      </w:pPr>
      <w:r>
        <w:rPr>
          <w:sz w:val="22"/>
        </w:rPr>
        <w:t>Methodological notes</w:t>
      </w:r>
    </w:p>
    <w:p>
      <w:pPr>
        <w:spacing w:before="120" w:after="120"/>
        <w:ind w:firstLine="397"/>
        <w:jc w:val="both"/>
        <w:rPr>
          <w:rFonts w:ascii="Arial" w:hAnsi="Arial"/>
          <w:sz w:val="20"/>
        </w:rPr>
      </w:pPr>
      <w:r>
        <w:rPr>
          <w:rFonts w:ascii="Arial" w:hAnsi="Arial"/>
          <w:sz w:val="20"/>
        </w:rPr>
        <w:t xml:space="preserve">This statistical release is the result of the regular statistical survey “Quarterly structural report on business activity of enterprise” – SBS – 03 (results for 2007, 2008, 2009, 2010 and 2011 are published in scope of the edition Working documents no. 64, 68, 71,76 and 79). </w:t>
      </w:r>
    </w:p>
    <w:p>
      <w:pPr>
        <w:spacing w:before="120" w:after="120"/>
        <w:ind w:firstLine="397"/>
        <w:jc w:val="both"/>
        <w:rPr>
          <w:rFonts w:ascii="Arial" w:hAnsi="Arial"/>
          <w:sz w:val="20"/>
        </w:rPr>
      </w:pPr>
      <w:r>
        <w:rPr>
          <w:rFonts w:ascii="Arial" w:hAnsi="Arial"/>
          <w:sz w:val="20"/>
        </w:rPr>
        <w:t>Starting from 2011, data are published according to the Law and Regulation on the Classification of Activities (“Official Gazette of the RS” 104/09 and 54/10). So-called micro approach has been applied to recalculate the data for previous periods by assigning a new activity code on the level of the current statistical unit and redoing estimations. This should be taken into account when using indices which base is the period preceding 2011. Recalculated series of indices of total operating income and operating costs by CA, for 2008-2010, are available on SORS website (www.stat.gov.rs).</w:t>
      </w:r>
    </w:p>
    <w:p>
      <w:pPr>
        <w:spacing w:before="120" w:after="120"/>
        <w:ind w:firstLine="397"/>
        <w:jc w:val="both"/>
        <w:rPr>
          <w:rFonts w:ascii="Arial" w:hAnsi="Arial"/>
          <w:sz w:val="20"/>
        </w:rPr>
      </w:pPr>
      <w:r>
        <w:rPr>
          <w:rFonts w:ascii="Arial" w:hAnsi="Arial"/>
          <w:sz w:val="20"/>
        </w:rPr>
        <w:t xml:space="preserve">The survey is conducted on the sample of selected enterprises and other legal entities that manufacture and provide services, mainly for market purposes. According to CA, non-financial business economy does not include the following sections: К (Financial and insurance activities) and О (Public administration and Defense; Compulsory social security). Even though, according to international standards, non-financial business economy also excludes section A (Agriculture, forestry and fishing), P (Education), Q (Human health and social work activities), R (Arts, entertainment and recreation) and S (Other service activities), this survey covers the market part of the mentioned sections. Unincorporated enterprises are excluded. </w:t>
      </w:r>
    </w:p>
    <w:p>
      <w:pPr>
        <w:spacing w:before="120" w:after="120"/>
        <w:ind w:firstLine="397"/>
        <w:jc w:val="both"/>
        <w:rPr>
          <w:rFonts w:ascii="Arial" w:hAnsi="Arial"/>
          <w:sz w:val="20"/>
        </w:rPr>
      </w:pPr>
      <w:r>
        <w:rPr>
          <w:rFonts w:ascii="Arial" w:hAnsi="Arial"/>
          <w:sz w:val="20"/>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before="120" w:after="120"/>
        <w:ind w:firstLine="397"/>
        <w:jc w:val="both"/>
        <w:rPr>
          <w:sz w:val="20"/>
        </w:rPr>
      </w:pPr>
      <w:r>
        <w:rPr>
          <w:rFonts w:ascii="Arial" w:hAnsi="Arial"/>
          <w:sz w:val="20"/>
        </w:rPr>
        <w:t>The frame for sample selection was based on the set of enterprises from the Statistical Business Register (SBR). Stratification of units for sample selection was performed according to CA activity divisions, number of employees and turnover value. Stratified random sample of 2866 enterprises was selected, out of which 2356 enterprises (82%) was included in realized sample. Related to index fourth quarter 2012 to the fourth quarter 2011, the standard error estimate</w:t>
      </w:r>
      <w:r>
        <w:rPr>
          <w:rFonts w:ascii="Arial" w:hAnsi="Arial"/>
          <w:sz w:val="20"/>
          <w:vertAlign w:val="superscript"/>
        </w:rPr>
        <w:t>3)</w:t>
      </w:r>
      <w:r>
        <w:rPr>
          <w:rFonts w:ascii="Arial" w:hAnsi="Arial"/>
          <w:sz w:val="20"/>
        </w:rPr>
        <w:t xml:space="preserve"> of operating income equals 7.1 and referring to operating costs, it equals 7.6. Regarding index fourth quarter 2012 to the third quarter 2012, the standard error estimate of operating income equals 1.8 and referring to operating costs, it equals 2.1.</w:t>
      </w:r>
    </w:p>
    <w:p>
      <w:pPr>
        <w:spacing w:before="120" w:after="120"/>
        <w:ind w:firstLine="397"/>
        <w:jc w:val="both"/>
        <w:rPr>
          <w:rFonts w:ascii="Arial" w:hAnsi="Arial"/>
          <w:sz w:val="20"/>
        </w:rPr>
      </w:pPr>
      <w:r>
        <w:rPr>
          <w:rFonts w:ascii="Arial" w:hAnsi="Arial"/>
          <w:sz w:val="20"/>
        </w:rPr>
        <w:t xml:space="preserve">The enterprises are classified </w:t>
      </w:r>
      <w:r>
        <w:rPr>
          <w:rFonts w:ascii="Arial" w:hAnsi="Arial"/>
          <w:i w:val="1"/>
          <w:sz w:val="20"/>
        </w:rPr>
        <w:t>by the main activity</w:t>
      </w:r>
      <w:r>
        <w:rPr>
          <w:rFonts w:ascii="Arial" w:hAnsi="Arial"/>
          <w:sz w:val="20"/>
        </w:rPr>
        <w:t xml:space="preserve"> (for the reporting unit as a whole).</w:t>
      </w:r>
    </w:p>
    <w:p>
      <w:pPr>
        <w:spacing w:before="120" w:after="120"/>
        <w:ind w:firstLine="397"/>
        <w:jc w:val="both"/>
        <w:rPr>
          <w:rFonts w:ascii="Arial" w:hAnsi="Arial"/>
          <w:sz w:val="20"/>
        </w:rPr>
      </w:pPr>
      <w:r>
        <w:rPr>
          <w:rFonts w:ascii="Arial" w:hAnsi="Arial"/>
          <w:sz w:val="20"/>
        </w:rPr>
        <w:t xml:space="preserve">The principal data sources for completing the reports are </w:t>
      </w:r>
      <w:r>
        <w:rPr>
          <w:rFonts w:ascii="Arial" w:hAnsi="Arial"/>
          <w:i w:val="1"/>
          <w:sz w:val="20"/>
        </w:rPr>
        <w:t>bookkeeping records</w:t>
      </w:r>
      <w:r>
        <w:rPr>
          <w:rFonts w:ascii="Arial" w:hAnsi="Arial"/>
          <w:sz w:val="20"/>
        </w:rPr>
        <w:t xml:space="preserve"> of enterprises (financial and cost accounting) and other records (tax, staff) and accounts.  </w:t>
      </w:r>
    </w:p>
    <w:p>
      <w:pPr>
        <w:spacing w:before="120" w:after="120"/>
        <w:ind w:firstLine="397"/>
        <w:jc w:val="both"/>
        <w:rPr>
          <w:rFonts w:ascii="Arial" w:hAnsi="Arial"/>
          <w:sz w:val="20"/>
        </w:rPr>
      </w:pPr>
      <w:r>
        <w:rPr>
          <w:rFonts w:ascii="Arial" w:hAnsi="Arial"/>
          <w:sz w:val="20"/>
        </w:rPr>
        <w:t xml:space="preserve">The data are expressed at current prices. </w:t>
      </w:r>
    </w:p>
    <w:p>
      <w:pPr>
        <w:spacing w:before="120" w:after="120"/>
        <w:ind w:firstLine="397"/>
        <w:jc w:val="both"/>
        <w:rPr>
          <w:rFonts w:ascii="Arial" w:hAnsi="Arial"/>
          <w:color w:val="FF0000"/>
          <w:sz w:val="20"/>
        </w:rPr>
      </w:pPr>
      <w:r>
        <w:rPr>
          <w:rFonts w:ascii="Arial" w:hAnsi="Arial"/>
          <w:sz w:val="20"/>
        </w:rPr>
        <w:t>Operating income</w:t>
      </w:r>
      <w:r>
        <w:rPr>
          <w:rFonts w:ascii="Arial" w:hAnsi="Arial"/>
          <w:b w:val="1"/>
          <w:sz w:val="20"/>
        </w:rPr>
        <w:t xml:space="preserve"> </w:t>
      </w:r>
      <w:r>
        <w:rPr>
          <w:rFonts w:ascii="Arial" w:hAnsi="Arial"/>
          <w:sz w:val="20"/>
        </w:rPr>
        <w:t>presents valuable (monetary) results of operating activity of enterprise in the specified period. They include: revenues from sales of goods, products and services; revenues from capitalized production; revenues from premiums, subsidies, donations, etc. and other operating income (revenues from rents, memberships, license reimbursements and other operating income). They are expressed without value added tax.</w:t>
      </w:r>
      <w:r>
        <w:rPr>
          <w:sz w:val="20"/>
        </w:rPr>
        <w:t xml:space="preserve">    </w:t>
      </w:r>
      <w:r>
        <w:rPr>
          <w:rFonts w:ascii="Arial" w:hAnsi="Arial"/>
          <w:sz w:val="20"/>
        </w:rPr>
        <w:t xml:space="preserve">   </w:t>
      </w:r>
    </w:p>
    <w:p>
      <w:pPr>
        <w:spacing w:before="120" w:after="120"/>
        <w:ind w:firstLine="397"/>
        <w:jc w:val="both"/>
        <w:rPr>
          <w:rFonts w:ascii="Arial" w:hAnsi="Arial"/>
          <w:sz w:val="20"/>
        </w:rPr>
      </w:pPr>
      <w:r>
        <w:rPr>
          <w:rFonts w:ascii="Arial" w:hAnsi="Arial"/>
          <w:sz w:val="20"/>
        </w:rPr>
        <w:t>Operating costs</w:t>
      </w:r>
      <w:r>
        <w:rPr>
          <w:rFonts w:ascii="Arial" w:hAnsi="Arial"/>
          <w:b w:val="1"/>
          <w:sz w:val="20"/>
        </w:rPr>
        <w:t xml:space="preserve"> </w:t>
      </w:r>
      <w:r>
        <w:rPr>
          <w:rFonts w:ascii="Arial" w:hAnsi="Arial"/>
          <w:sz w:val="20"/>
        </w:rPr>
        <w:t xml:space="preserve">present valuable (monetary) costs of operating activity of enterprise in the specified period. They include: purchase value of sold goods; raw materials costs; costs of salaries, remuneration and other personal costs; costs of industrial services and cost of non-industrial services, excluding taxes and social contributions. </w:t>
      </w:r>
    </w:p>
    <w:p>
      <w:pPr>
        <w:jc w:val="center"/>
        <w:rPr>
          <w:rFonts w:ascii="Arial" w:hAnsi="Arial"/>
          <w:sz w:val="10"/>
        </w:rPr>
      </w:pPr>
    </w:p>
    <w:p>
      <w:pPr>
        <w:jc w:val="center"/>
        <w:rPr>
          <w:rFonts w:ascii="Arial" w:hAnsi="Arial"/>
          <w:sz w:val="10"/>
        </w:rPr>
      </w:pPr>
    </w:p>
    <w:p>
      <w:pPr>
        <w:jc w:val="center"/>
        <w:rPr>
          <w:rFonts w:ascii="Arial" w:hAnsi="Arial"/>
          <w:sz w:val="10"/>
        </w:rPr>
      </w:pPr>
    </w:p>
    <w:p>
      <w:pPr>
        <w:jc w:val="center"/>
        <w:rPr>
          <w:rFonts w:ascii="Arial" w:hAnsi="Arial"/>
          <w:sz w:val="22"/>
        </w:rPr>
      </w:pPr>
    </w:p>
    <w:p>
      <w:pPr>
        <w:tabs>
          <w:tab w:val="left" w:pos="7800" w:leader="none"/>
        </w:tabs>
        <w:rPr>
          <w:rFonts w:ascii="Arial" w:hAnsi="Arial"/>
          <w:sz w:val="6"/>
        </w:rPr>
      </w:pPr>
      <w:r>
        <w:rPr>
          <w:rFonts w:ascii="Arial" w:hAnsi="Arial"/>
          <w:sz w:val="14"/>
          <w:vertAlign w:val="superscript"/>
        </w:rPr>
        <w:t xml:space="preserve">3) </w:t>
      </w:r>
      <w:r>
        <w:rPr>
          <w:rFonts w:ascii="Arial" w:hAnsi="Arial"/>
          <w:sz w:val="14"/>
        </w:rPr>
        <w:t xml:space="preserve">Standard error is a measure of deviation. It is equal to the square root of the variance of an estimate. </w:t>
      </w: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p>
      <w:pPr>
        <w:pStyle w:val="P10"/>
        <w:rPr>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639" w:type="dxa"/>
          </w:tcPr>
          <w:p>
            <w:pPr>
              <w:jc w:val="both"/>
              <w:rPr>
                <w:rFonts w:ascii="Arial" w:hAnsi="Arial"/>
                <w:sz w:val="2"/>
              </w:rPr>
            </w:pPr>
          </w:p>
        </w:tc>
      </w:tr>
    </w:tbl>
    <w:p>
      <w:pPr>
        <w:rPr>
          <w:rFonts w:ascii="Arial" w:hAnsi="Arial"/>
          <w:sz w:val="10"/>
        </w:rPr>
      </w:pPr>
    </w:p>
    <w:p>
      <w:pPr>
        <w:jc w:val="center"/>
        <w:rPr>
          <w:rFonts w:ascii="Arial" w:hAnsi="Arial"/>
          <w:sz w:val="18"/>
        </w:rPr>
      </w:pPr>
      <w:r>
        <w:rPr>
          <w:rFonts w:ascii="Arial" w:hAnsi="Arial"/>
          <w:sz w:val="18"/>
        </w:rPr>
        <w:t xml:space="preserve">Published and printed by: Statistical Office of the Republic of Serbia, Belgrade, Milana Rakica 5, </w:t>
      </w:r>
    </w:p>
    <w:p>
      <w:pPr>
        <w:jc w:val="center"/>
        <w:rPr>
          <w:rFonts w:ascii="Arial" w:hAnsi="Arial"/>
          <w:sz w:val="18"/>
        </w:rPr>
      </w:pPr>
      <w:r>
        <w:rPr>
          <w:rFonts w:ascii="Arial" w:hAnsi="Arial"/>
          <w:sz w:val="18"/>
        </w:rPr>
        <w:t xml:space="preserve">Phone: +381 11 2412922 ● Fax: +381 11 2411260 ● www.stat.gov.rs  </w:t>
      </w:r>
    </w:p>
    <w:p>
      <w:pPr>
        <w:jc w:val="center"/>
      </w:pPr>
      <w:r>
        <w:rPr>
          <w:rFonts w:ascii="Arial" w:hAnsi="Arial"/>
          <w:sz w:val="18"/>
        </w:rPr>
        <w:t>Responsible: Dragan Vukmirovic, PhD, Director</w:t>
        <w:br w:type="textWrapping"/>
        <w:t>Circulation: 20 ● Issued quarterly</w:t>
      </w:r>
    </w:p>
    <w:sectPr>
      <w:footerReference xmlns:r="http://schemas.openxmlformats.org/officeDocument/2006/relationships" w:type="default" r:id="RelFtr1"/>
      <w:footerReference xmlns:r="http://schemas.openxmlformats.org/officeDocument/2006/relationships" w:type="even" r:id="RelFtr2"/>
      <w:type w:val="nextPage"/>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3"/>
      <w:pBdr>
        <w:top w:val="single" w:sz="4" w:space="0" w:shadow="0" w:frame="0"/>
      </w:pBdr>
      <w:ind w:firstLine="360" w:right="360"/>
      <w:rPr>
        <w:rFonts w:ascii="Arial" w:hAnsi="Arial"/>
        <w:sz w:val="16"/>
      </w:rPr>
    </w:pPr>
    <w:r>
      <w:rPr>
        <w:rFonts w:ascii="Arial" w:hAnsi="Arial"/>
        <w:sz w:val="16"/>
      </w:rPr>
      <w:t>SERB??? PS10 150711</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3"/>
      <w:pBdr>
        <w:top w:val="single" w:sz="4" w:space="0" w:shadow="0" w:frame="0"/>
      </w:pBdr>
      <w:jc w:val="right"/>
      <w:rPr>
        <w:rFonts w:ascii="Arial" w:hAnsi="Arial"/>
        <w:sz w:val="16"/>
      </w:rPr>
    </w:pPr>
    <w:r>
      <w:rPr>
        <w:rFonts w:ascii="Arial" w:hAnsi="Arial"/>
        <w:sz w:val="16"/>
      </w:rPr>
      <w:t>SERB099 PS10 150413</w:t>
    </w:r>
  </w:p>
</w:ftr>
</file>

<file path=word/numbering.xml><?xml version="1.0" encoding="utf-8"?>
<w:numbering xmlns:w="http://schemas.openxmlformats.org/wordprocessingml/2006/main">
  <w:abstractNum w:abstractNumId="0">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5"/>
    <w:basedOn w:val="P0"/>
    <w:next w:val="P0"/>
    <w:pPr>
      <w:keepNext w:val="1"/>
      <w:jc w:val="center"/>
      <w:outlineLvl w:val="4"/>
    </w:pPr>
    <w:rPr>
      <w:rFonts w:ascii="Arial" w:hAnsi="Arial"/>
      <w:b w:val="1"/>
      <w:sz w:val="20"/>
    </w:rPr>
  </w:style>
  <w:style w:type="paragraph" w:styleId="P3">
    <w:name w:val="Heading 6"/>
    <w:basedOn w:val="P0"/>
    <w:next w:val="P0"/>
    <w:pPr>
      <w:keepNext w:val="1"/>
      <w:jc w:val="center"/>
      <w:outlineLvl w:val="5"/>
    </w:pPr>
    <w:rPr>
      <w:rFonts w:ascii="Arial" w:hAnsi="Arial"/>
      <w:b w:val="1"/>
    </w:rPr>
  </w:style>
  <w:style w:type="paragraph" w:styleId="P4">
    <w:name w:val="Head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Naslov tabela"/>
    <w:basedOn w:val="P0"/>
    <w:next w:val="P6"/>
    <w:pPr>
      <w:tabs>
        <w:tab w:val="left" w:pos="284" w:leader="none"/>
        <w:tab w:val="clear" w:pos="360" w:leader="none"/>
      </w:tabs>
      <w:spacing w:before="120" w:after="120"/>
      <w:ind w:hanging="284" w:left="284"/>
      <w:jc w:val="center"/>
    </w:pPr>
    <w:rPr>
      <w:rFonts w:ascii="Arial" w:hAnsi="Arial"/>
      <w:b w:val="1"/>
      <w:sz w:val="20"/>
    </w:rPr>
  </w:style>
  <w:style w:type="paragraph" w:styleId="P7">
    <w:name w:val="Tabela-Zaglavlje"/>
    <w:basedOn w:val="P0"/>
    <w:next w:val="P7"/>
    <w:pPr>
      <w:jc w:val="center"/>
    </w:pPr>
    <w:rPr>
      <w:rFonts w:ascii="Arial" w:hAnsi="Arial"/>
      <w:sz w:val="16"/>
    </w:rPr>
  </w:style>
  <w:style w:type="paragraph" w:styleId="P8">
    <w:name w:val="Tabela-Brojevi"/>
    <w:basedOn w:val="P0"/>
    <w:next w:val="P8"/>
    <w:pPr>
      <w:jc w:val="right"/>
    </w:pPr>
    <w:rPr>
      <w:rFonts w:ascii="Arial" w:hAnsi="Arial"/>
      <w:sz w:val="16"/>
    </w:rPr>
  </w:style>
  <w:style w:type="paragraph" w:styleId="P9">
    <w:name w:val="Tabela-BrojeviB"/>
    <w:basedOn w:val="P0"/>
    <w:next w:val="P9"/>
    <w:pPr>
      <w:jc w:val="right"/>
    </w:pPr>
    <w:rPr>
      <w:rFonts w:ascii="Arial" w:hAnsi="Arial"/>
      <w:b w:val="1"/>
      <w:sz w:val="16"/>
    </w:rPr>
  </w:style>
  <w:style w:type="paragraph" w:styleId="P10">
    <w:name w:val="Body Text Indent 2"/>
    <w:basedOn w:val="P0"/>
    <w:next w:val="P10"/>
    <w:pPr>
      <w:ind w:firstLine="360" w:left="360"/>
      <w:jc w:val="both"/>
    </w:pPr>
    <w:rPr>
      <w:rFonts w:ascii="Arial" w:hAnsi="Arial"/>
      <w:sz w:val="22"/>
    </w:rPr>
  </w:style>
  <w:style w:type="paragraph" w:styleId="P11">
    <w:name w:val="Naslov Metodologija i Napomena"/>
    <w:basedOn w:val="P0"/>
    <w:next w:val="P11"/>
    <w:pPr>
      <w:spacing w:before="120" w:after="240"/>
      <w:jc w:val="center"/>
    </w:pPr>
    <w:rPr>
      <w:rFonts w:ascii="Arial" w:hAnsi="Arial"/>
      <w:b w:val="1"/>
      <w:sz w:val="20"/>
    </w:rPr>
  </w:style>
  <w:style w:type="paragraph" w:styleId="P12">
    <w:name w:val=" Char Char Char Char Char1 Char"/>
    <w:basedOn w:val="P0"/>
    <w:next w:val="P12"/>
    <w:pPr>
      <w:tabs>
        <w:tab w:val="left" w:pos="567" w:leader="none"/>
      </w:tabs>
      <w:spacing w:lineRule="exact" w:line="240" w:before="120" w:after="160"/>
      <w:ind w:hanging="504" w:left="1584"/>
    </w:pPr>
    <w:rPr>
      <w:rFonts w:ascii="Arial" w:hAnsi="Arial"/>
      <w:b w:val="1"/>
      <w:color w:val="000000"/>
    </w:rPr>
  </w:style>
  <w:style w:type="paragraph" w:styleId="P13">
    <w:name w:val="Footer"/>
    <w:basedOn w:val="P0"/>
    <w:next w:val="P13"/>
    <w:pPr>
      <w:tabs>
        <w:tab w:val="center" w:pos="4320" w:leader="none"/>
        <w:tab w:val="right" w:pos="8640" w:leader="none"/>
      </w:tabs>
    </w:pPr>
    <w:rPr/>
  </w:style>
  <w:style w:type="paragraph" w:styleId="P14">
    <w:name w:val="Title"/>
    <w:basedOn w:val="P0"/>
    <w:next w:val="P14"/>
    <w:pPr>
      <w:spacing w:before="240" w:after="60"/>
      <w:jc w:val="center"/>
      <w:outlineLvl w:val="0"/>
    </w:pPr>
    <w:rPr>
      <w:rFonts w:ascii="Arial" w:hAnsi="Arial"/>
      <w:b w:val="1"/>
      <w:sz w:val="32"/>
    </w:rPr>
  </w:style>
  <w:style w:type="paragraph" w:styleId="P15">
    <w:name w:val="Caption"/>
    <w:basedOn w:val="P0"/>
    <w:next w:val="P0"/>
    <w:pPr/>
    <w:rPr>
      <w:b w:val="1"/>
      <w:sz w:val="20"/>
    </w:rPr>
  </w:style>
  <w:style w:type="paragraph" w:styleId="P16">
    <w:name w:val="Balloon Text"/>
    <w:basedOn w:val="P0"/>
    <w:next w:val="P16"/>
    <w:pPr/>
    <w:rPr>
      <w:rFonts w:ascii="Tahoma" w:hAnsi="Tahoma"/>
      <w:sz w:val="16"/>
    </w:rPr>
  </w:style>
  <w:style w:type="paragraph" w:styleId="P17">
    <w:name w:val="Comment Text"/>
    <w:basedOn w:val="P0"/>
    <w:next w:val="P17"/>
    <w:pPr/>
    <w:rPr>
      <w:sz w:val="20"/>
    </w:rPr>
  </w:style>
  <w:style w:type="paragraph" w:styleId="P18">
    <w:name w:val="Body Text"/>
    <w:basedOn w:val="P0"/>
    <w:next w:val="P18"/>
    <w:pPr>
      <w:tabs>
        <w:tab w:val="left" w:pos="142" w:leader="none"/>
      </w:tabs>
      <w:jc w:val="both"/>
    </w:pPr>
    <w:rPr>
      <w:rFonts w:ascii="Arial" w:hAnsi="Arial"/>
      <w:sz w:val="22"/>
    </w:rPr>
  </w:style>
  <w:style w:type="paragraph" w:styleId="P19">
    <w:name w:val="Naslov saopstenja"/>
    <w:basedOn w:val="P14"/>
    <w:next w:val="P15"/>
    <w:pPr>
      <w:spacing w:after="0"/>
    </w:pPr>
    <w:rPr>
      <w:sz w:val="24"/>
    </w:rPr>
  </w:style>
  <w:style w:type="paragraph" w:styleId="P20">
    <w:name w:val="Comment Subject"/>
    <w:basedOn w:val="P17"/>
    <w:next w:val="P17"/>
    <w:pPr/>
    <w:rPr>
      <w:b w:val="1"/>
    </w:rPr>
  </w:style>
  <w:style w:type="paragraph" w:styleId="P21">
    <w:name w:val="Body Text First Indent"/>
    <w:basedOn w:val="P18"/>
    <w:next w:val="P21"/>
    <w:pPr>
      <w:numPr>
        <w:numId w:val="1"/>
      </w:numPr>
      <w:tabs>
        <w:tab w:val="clear" w:pos="142" w:leader="none"/>
        <w:tab w:val="clear" w:pos="360" w:leader="none"/>
      </w:tabs>
      <w:spacing w:after="120"/>
      <w:ind w:firstLine="210" w:left="0"/>
      <w:jc w:val="left"/>
    </w:pPr>
    <w:rPr>
      <w:sz w:val="20"/>
    </w:rPr>
  </w:style>
  <w:style w:type="paragraph" w:styleId="P22">
    <w:name w:val="Tekst Metodologija i Napomena"/>
    <w:basedOn w:val="P21"/>
    <w:next w:val="P18"/>
    <w:pPr>
      <w:spacing w:before="120" w:after="0"/>
      <w:ind w:firstLine="397"/>
      <w:jc w:val="both"/>
    </w:pPr>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Strong"/>
    <w:basedOn w:val="C0"/>
    <w:rPr>
      <w:b w:val="1"/>
    </w:rPr>
  </w:style>
  <w:style w:type="character" w:styleId="C4">
    <w:name w:val="Page Number"/>
    <w:basedOn w:val="C0"/>
    <w:rPr/>
  </w:style>
  <w:style w:type="character" w:styleId="C5">
    <w:name w:val="Comment Reference"/>
    <w:basedOn w:val="C0"/>
    <w:rPr>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dcterms:created xsi:type="dcterms:W3CDTF">2012-10-15T07:19:00Z</dcterms:created>
  <cp:lastModifiedBy>Nikola Kapetanovic</cp:lastModifiedBy>
  <cp:lastPrinted>2012-10-09T06:36:00Z</cp:lastPrinted>
  <dcterms:modified xsi:type="dcterms:W3CDTF">2020-01-10T11:42:31Z</dcterms:modified>
  <cp:revision>6</cp:revision>
  <dc:title> </dc:title>
</cp:coreProperties>
</file>