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0832E76" Type="http://schemas.openxmlformats.org/officeDocument/2006/relationships/officeDocument" Target="/word/document.xml" /><Relationship Id="coreR70832E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pStyle w:val="P15"/>
              <w:tabs>
                <w:tab w:val="clear" w:pos="4320" w:leader="none"/>
                <w:tab w:val="clear" w:pos="8640" w:leader="none"/>
              </w:tabs>
              <w:rPr>
                <w:rFonts w:ascii="Arial" w:hAnsi="Arial"/>
                <w:sz w:val="20"/>
              </w:rPr>
            </w:pPr>
            <w:r>
              <w:rPr>
                <w:rFonts w:ascii="Arial" w:hAnsi="Arial"/>
                <w:sz w:val="20"/>
              </w:rPr>
              <w:t>Republic of Serbia</w:t>
            </w:r>
          </w:p>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NR31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078 - Year LXIII, 29/03/2013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National accounts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color w:val="FF0000"/>
              </w:rPr>
            </w:pPr>
            <w:r>
              <w:rPr>
                <w:b w:val="0"/>
                <w:sz w:val="20"/>
              </w:rPr>
              <w:t>SRB</w:t>
            </w:r>
            <w:r>
              <w:rPr>
                <w:b w:val="0"/>
                <w:sz w:val="20"/>
              </w:rPr>
              <w:t>078</w:t>
            </w:r>
            <w:r>
              <w:rPr>
                <w:b w:val="0"/>
                <w:color w:val="FF0000"/>
                <w:sz w:val="20"/>
              </w:rPr>
              <w:t xml:space="preserve"> </w:t>
            </w:r>
            <w:r>
              <w:rPr>
                <w:b w:val="0"/>
                <w:sz w:val="20"/>
              </w:rPr>
              <w:t>NR</w:t>
            </w:r>
            <w:r>
              <w:rPr>
                <w:b w:val="0"/>
                <w:sz w:val="20"/>
              </w:rPr>
              <w:t xml:space="preserve">31 </w:t>
            </w:r>
            <w:r>
              <w:rPr>
                <w:b w:val="0"/>
                <w:sz w:val="20"/>
              </w:rPr>
              <w:t>29</w:t>
            </w:r>
            <w:r>
              <w:rPr>
                <w:b w:val="0"/>
                <w:sz w:val="20"/>
              </w:rPr>
              <w:t>031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color w:val="808080"/>
              </w:rPr>
            </w:pPr>
          </w:p>
        </w:tc>
      </w:tr>
    </w:tbl>
    <w:p>
      <w:pPr>
        <w:spacing w:lineRule="auto" w:line="228"/>
        <w:jc w:val="center"/>
        <w:rPr>
          <w:rFonts w:ascii="Arial" w:hAnsi="Arial"/>
          <w:b w:val="1"/>
          <w:color w:val="000000"/>
        </w:rPr>
      </w:pPr>
    </w:p>
    <w:p>
      <w:pPr>
        <w:spacing w:lineRule="auto" w:line="228"/>
        <w:jc w:val="center"/>
        <w:rPr>
          <w:rFonts w:ascii="Arial" w:hAnsi="Arial"/>
          <w:b w:val="1"/>
          <w:color w:val="000000"/>
        </w:rPr>
      </w:pPr>
    </w:p>
    <w:p>
      <w:pPr>
        <w:spacing w:lineRule="auto" w:line="228"/>
        <w:jc w:val="center"/>
        <w:rPr>
          <w:rFonts w:ascii="Arial" w:hAnsi="Arial"/>
          <w:b w:val="1"/>
          <w:color w:val="000000"/>
        </w:rPr>
      </w:pPr>
      <w:r>
        <w:rPr>
          <w:rFonts w:ascii="Arial" w:hAnsi="Arial"/>
          <w:b w:val="1"/>
          <w:color w:val="000000"/>
        </w:rPr>
        <w:t>Gross domestic product of the Republic of Serbia, 2008–2011</w:t>
      </w:r>
    </w:p>
    <w:p>
      <w:pPr>
        <w:pStyle w:val="P13"/>
        <w:spacing w:lineRule="auto" w:line="252" w:after="320"/>
        <w:ind w:firstLine="0" w:left="0"/>
        <w:jc w:val="center"/>
        <w:rPr>
          <w:b w:val="1"/>
        </w:rPr>
      </w:pPr>
      <w:r>
        <w:rPr>
          <w:b w:val="1"/>
          <w:color w:val="000000"/>
        </w:rPr>
        <w:t xml:space="preserve">- </w:t>
      </w:r>
      <w:r>
        <w:rPr>
          <w:b w:val="1"/>
        </w:rPr>
        <w:t>a</w:t>
      </w:r>
      <w:r>
        <w:rPr>
          <w:b w:val="1"/>
        </w:rPr>
        <w:t>t</w:t>
      </w:r>
      <w:r>
        <w:rPr>
          <w:b w:val="1"/>
          <w:color w:val="000000"/>
        </w:rPr>
        <w:t xml:space="preserve"> c</w:t>
      </w:r>
      <w:r>
        <w:rPr>
          <w:b w:val="1"/>
          <w:color w:val="000000"/>
        </w:rPr>
        <w:t>onstant</w:t>
      </w:r>
      <w:r>
        <w:rPr>
          <w:b w:val="1"/>
          <w:color w:val="000000"/>
        </w:rPr>
        <w:t xml:space="preserve"> prices -</w:t>
      </w:r>
    </w:p>
    <w:p>
      <w:pPr>
        <w:spacing w:lineRule="auto" w:line="228" w:before="120" w:after="120"/>
        <w:ind w:firstLine="397"/>
        <w:jc w:val="both"/>
        <w:rPr>
          <w:rFonts w:ascii="Arial" w:hAnsi="Arial"/>
          <w:sz w:val="20"/>
        </w:rPr>
      </w:pPr>
      <w:r>
        <w:rPr>
          <w:rFonts w:ascii="Arial" w:hAnsi="Arial"/>
          <w:sz w:val="20"/>
        </w:rPr>
        <w:t>The Statistical Office of the Republic of Serbia publishes the results of annual calculations of Gross domestic product (GDP) by production and expenditure approach, at previous year prices, for the period 2008-2011. It shall be noted that this is the first time that we release the official results of the GDP expenditure side calculations at constant prices.</w:t>
      </w:r>
    </w:p>
    <w:p>
      <w:pPr>
        <w:spacing w:lineRule="auto" w:line="228" w:before="120" w:after="120"/>
        <w:ind w:firstLine="397"/>
        <w:jc w:val="both"/>
        <w:rPr>
          <w:rFonts w:ascii="Arial" w:hAnsi="Arial"/>
          <w:sz w:val="20"/>
        </w:rPr>
      </w:pPr>
      <w:r>
        <w:rPr>
          <w:rFonts w:ascii="Arial" w:hAnsi="Arial"/>
          <w:sz w:val="20"/>
        </w:rPr>
        <w:t>The real GDP growth in 2011 compared to the previous year equalled 1.6%.</w:t>
      </w:r>
    </w:p>
    <w:p>
      <w:pPr>
        <w:spacing w:lineRule="auto" w:line="228" w:before="120" w:after="120"/>
        <w:ind w:firstLine="397"/>
        <w:jc w:val="both"/>
        <w:rPr>
          <w:rFonts w:ascii="Arial" w:hAnsi="Arial"/>
          <w:sz w:val="20"/>
        </w:rPr>
      </w:pPr>
      <w:r>
        <w:rPr>
          <w:rFonts w:ascii="Arial" w:hAnsi="Arial"/>
          <w:sz w:val="20"/>
        </w:rPr>
        <w:t>Observed by the main activities, in 2011 the real growth of Gross value added (GVA) was noted as follows: the section of manufacturing – 0.5%, the section of agriculture, forestry and fishing – 0.9%, the section of construction – 10.4%, the section of transportation and storage – 2.9%, and the section of information and communication – 10.7%. The most expressive fall of GVA was recorded for the section of wholesale and retail trade; repair of motor vehicles and motorcycles – 6.5%.</w:t>
      </w:r>
    </w:p>
    <w:p>
      <w:pPr>
        <w:spacing w:before="120" w:after="120"/>
        <w:ind w:firstLine="403"/>
        <w:jc w:val="both"/>
        <w:rPr>
          <w:rFonts w:ascii="Arial" w:hAnsi="Arial"/>
          <w:sz w:val="20"/>
        </w:rPr>
      </w:pPr>
      <w:r>
        <w:rPr>
          <w:rFonts w:ascii="Arial" w:hAnsi="Arial"/>
          <w:sz w:val="20"/>
        </w:rPr>
        <w:t>Regarding the GDP use, in 2011 related to the previous year, real growth was noted for gross fixed capital formation – 8.4%, imports of goods and services – 7.0%, exports of goods and services – 3.4%, as well as for government individual consumption expenditure – 1.2% and government collective consumption expenditure – 0.6%. Household final consumption expenditure expressed a real fall of 1.2%.</w:t>
      </w:r>
    </w:p>
    <w:p>
      <w:pPr>
        <w:spacing w:before="120" w:after="120"/>
        <w:jc w:val="both"/>
        <w:rPr>
          <w:rFonts w:ascii="Arial" w:hAnsi="Arial"/>
          <w:b w:val="1"/>
          <w:sz w:val="20"/>
        </w:rPr>
      </w:pPr>
    </w:p>
    <w:p>
      <w:pPr>
        <w:spacing w:before="120" w:after="120"/>
        <w:ind w:firstLine="403"/>
        <w:jc w:val="both"/>
        <w:rPr>
          <w:rFonts w:ascii="Arial" w:hAnsi="Arial"/>
          <w:sz w:val="20"/>
        </w:rPr>
      </w:pPr>
      <w:r>
        <w:rPr>
          <w:rFonts w:ascii="Arial" w:hAnsi="Arial"/>
          <w:b w:val="1"/>
          <w:sz w:val="20"/>
        </w:rPr>
        <w:t>1</w:t>
      </w:r>
      <w:r>
        <w:rPr>
          <w:rFonts w:ascii="Arial" w:hAnsi="Arial"/>
          <w:b w:val="1"/>
          <w:sz w:val="20"/>
        </w:rPr>
        <w:t>.</w:t>
      </w:r>
      <w:r>
        <w:rPr>
          <w:rFonts w:ascii="Arial" w:hAnsi="Arial"/>
          <w:b w:val="1"/>
          <w:sz w:val="20"/>
        </w:rPr>
        <w:t xml:space="preserve"> </w:t>
      </w:r>
      <w:r>
        <w:rPr>
          <w:rFonts w:ascii="Arial" w:hAnsi="Arial"/>
          <w:b w:val="1"/>
          <w:sz w:val="20"/>
        </w:rPr>
        <w:t>Gross value added by activities and G</w:t>
      </w:r>
      <w:r>
        <w:rPr>
          <w:rFonts w:ascii="Arial" w:hAnsi="Arial"/>
          <w:b w:val="1"/>
          <w:sz w:val="20"/>
        </w:rPr>
        <w:t>ross d</w:t>
      </w:r>
      <w:r>
        <w:rPr>
          <w:rFonts w:ascii="Arial" w:hAnsi="Arial"/>
          <w:b w:val="1"/>
          <w:sz w:val="20"/>
        </w:rPr>
        <w:t>omestic product</w:t>
      </w:r>
      <w:r>
        <w:rPr>
          <w:rFonts w:ascii="Arial" w:hAnsi="Arial"/>
          <w:b w:val="1"/>
          <w:sz w:val="20"/>
        </w:rPr>
        <w:t>, 200</w:t>
      </w:r>
      <w:r>
        <w:rPr>
          <w:rFonts w:ascii="Arial" w:hAnsi="Arial"/>
          <w:b w:val="1"/>
          <w:sz w:val="20"/>
        </w:rPr>
        <w:t>8</w:t>
      </w:r>
      <w:r>
        <w:rPr>
          <w:rFonts w:ascii="Arial" w:hAnsi="Arial"/>
          <w:b w:val="1"/>
          <w:sz w:val="20"/>
        </w:rPr>
        <w:t>–</w:t>
      </w:r>
      <w:r>
        <w:rPr>
          <w:rFonts w:ascii="Arial" w:hAnsi="Arial"/>
          <w:b w:val="1"/>
          <w:sz w:val="20"/>
        </w:rPr>
        <w:t>20</w:t>
      </w:r>
      <w:r>
        <w:rPr>
          <w:rFonts w:ascii="Arial" w:hAnsi="Arial"/>
          <w:b w:val="1"/>
          <w:sz w:val="20"/>
        </w:rPr>
        <w:t>1</w:t>
      </w:r>
      <w:r>
        <w:rPr>
          <w:rFonts w:ascii="Arial" w:hAnsi="Arial"/>
          <w:b w:val="1"/>
          <w:sz w:val="20"/>
        </w:rPr>
        <w:t>1</w:t>
      </w:r>
    </w:p>
    <w:p>
      <w:pPr>
        <w:spacing w:before="120" w:after="40"/>
        <w:rPr>
          <w:rFonts w:ascii="Arial" w:hAnsi="Arial"/>
          <w:sz w:val="18"/>
        </w:rPr>
      </w:pPr>
      <w:r>
        <w:rPr>
          <w:rFonts w:ascii="Arial" w:hAnsi="Arial"/>
          <w:color w:val="000000"/>
          <w:sz w:val="19"/>
        </w:rPr>
        <w:t xml:space="preserve">Republic of Serbia   </w:t>
      </w:r>
      <w:r>
        <w:rPr>
          <w:rFonts w:ascii="Arial" w:hAnsi="Arial"/>
          <w:color w:val="000000"/>
          <w:sz w:val="18"/>
        </w:rPr>
        <w:t xml:space="preserve">                                                                                                                                      </w:t>
      </w:r>
      <w:r>
        <w:rPr>
          <w:rFonts w:ascii="Arial" w:hAnsi="Arial"/>
          <w:color w:val="000000"/>
          <w:sz w:val="16"/>
        </w:rPr>
        <w:t>real</w:t>
      </w:r>
      <w:r>
        <w:rPr>
          <w:rFonts w:ascii="Arial" w:hAnsi="Arial"/>
          <w:color w:val="000000"/>
          <w:sz w:val="18"/>
        </w:rPr>
        <w:t xml:space="preserve"> </w:t>
      </w:r>
      <w:r>
        <w:rPr>
          <w:rFonts w:ascii="Arial" w:hAnsi="Arial"/>
          <w:color w:val="000000"/>
          <w:sz w:val="16"/>
        </w:rPr>
        <w:t>growth rates, %</w:t>
      </w:r>
      <w:r>
        <w:rPr>
          <w:rFonts w:ascii="Arial" w:hAnsi="Arial"/>
          <w:sz w:val="18"/>
        </w:rPr>
        <w:t xml:space="preserve">                                                                                                                                                             </w:t>
      </w:r>
    </w:p>
    <w:tbl>
      <w:tblPr>
        <w:tblStyle w:val="T2"/>
        <w:tblW w:w="0" w:type="auto"/>
        <w:tblLayout w:type="autofit"/>
        <w:tblCellMar>
          <w:left w:w="28" w:type="dxa"/>
          <w:right w:w="28" w:type="dxa"/>
        </w:tblCellMar>
      </w:tblPr>
      <w:tblGrid/>
      <w:tr>
        <w:trPr>
          <w:wAfter w:w="0" w:type="dxa"/>
        </w:trPr>
        <w:tc>
          <w:tcPr>
            <w:tcW w:w="4763" w:type="dxa"/>
            <w:gridSpan w:val="2"/>
            <w:tcBorders>
              <w:top w:val="single" w:sz="4" w:space="0" w:shadow="0" w:frame="0"/>
              <w:left w:val="none" w:sz="0" w:space="0" w:shadow="0" w:frame="0"/>
              <w:bottom w:val="single" w:sz="4" w:space="0" w:shadow="0" w:frame="0"/>
              <w:right w:val="single" w:sz="4" w:space="0" w:shadow="0" w:frame="0"/>
            </w:tcBorders>
            <w:vAlign w:val="bottom"/>
          </w:tcPr>
          <w:p>
            <w:pPr>
              <w:spacing w:lineRule="auto" w:line="233"/>
              <w:jc w:val="center"/>
              <w:rPr>
                <w:rFonts w:ascii="Arial" w:hAnsi="Arial"/>
                <w:sz w:val="16"/>
              </w:rPr>
            </w:pPr>
          </w:p>
        </w:tc>
        <w:tc>
          <w:tcPr>
            <w:tcW w:w="1275"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33" w:before="120" w:after="120"/>
              <w:jc w:val="center"/>
              <w:rPr>
                <w:rFonts w:ascii="Arial" w:hAnsi="Arial"/>
                <w:sz w:val="16"/>
              </w:rPr>
            </w:pPr>
            <w:r>
              <w:rPr>
                <w:rFonts w:ascii="Arial" w:hAnsi="Arial"/>
                <w:sz w:val="16"/>
              </w:rPr>
              <w:t>2008</w:t>
            </w:r>
          </w:p>
        </w:tc>
        <w:tc>
          <w:tcPr>
            <w:tcW w:w="1276"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33" w:before="120" w:after="120"/>
              <w:jc w:val="center"/>
              <w:rPr>
                <w:rFonts w:ascii="Arial" w:hAnsi="Arial"/>
                <w:sz w:val="16"/>
              </w:rPr>
            </w:pPr>
            <w:r>
              <w:rPr>
                <w:rFonts w:ascii="Arial" w:hAnsi="Arial"/>
                <w:sz w:val="16"/>
              </w:rPr>
              <w:t>2009</w:t>
            </w:r>
          </w:p>
        </w:tc>
        <w:tc>
          <w:tcPr>
            <w:tcW w:w="1276"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33" w:before="120" w:after="120"/>
              <w:jc w:val="center"/>
              <w:rPr>
                <w:rFonts w:ascii="Arial" w:hAnsi="Arial"/>
                <w:sz w:val="16"/>
              </w:rPr>
            </w:pPr>
            <w:r>
              <w:rPr>
                <w:rFonts w:ascii="Arial" w:hAnsi="Arial"/>
                <w:sz w:val="16"/>
              </w:rPr>
              <w:t>2010</w:t>
            </w:r>
          </w:p>
        </w:tc>
        <w:tc>
          <w:tcPr>
            <w:tcW w:w="1276" w:type="dxa"/>
            <w:tcBorders>
              <w:top w:val="single" w:sz="4" w:space="0" w:shadow="0" w:frame="0"/>
              <w:left w:val="single" w:sz="4" w:space="0" w:shadow="0" w:frame="0"/>
              <w:bottom w:val="single" w:sz="4" w:space="0" w:shadow="0" w:frame="0"/>
            </w:tcBorders>
            <w:vAlign w:val="bottom"/>
          </w:tcPr>
          <w:p>
            <w:pPr>
              <w:spacing w:lineRule="auto" w:line="233" w:before="120" w:after="120"/>
              <w:jc w:val="center"/>
              <w:rPr>
                <w:rFonts w:ascii="Arial" w:hAnsi="Arial"/>
                <w:sz w:val="16"/>
              </w:rPr>
            </w:pPr>
            <w:r>
              <w:rPr>
                <w:rFonts w:ascii="Arial" w:hAnsi="Arial"/>
                <w:sz w:val="16"/>
              </w:rPr>
              <w:t>2011</w:t>
            </w:r>
          </w:p>
        </w:tc>
      </w:tr>
      <w:tr>
        <w:trPr>
          <w:wAfter w:w="0" w:type="dxa"/>
        </w:trPr>
        <w:tc>
          <w:tcPr>
            <w:tcW w:w="397"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center"/>
              <w:rPr>
                <w:rFonts w:ascii="Arial" w:hAnsi="Arial"/>
                <w:sz w:val="16"/>
              </w:rPr>
            </w:pPr>
          </w:p>
        </w:tc>
        <w:tc>
          <w:tcPr>
            <w:tcW w:w="436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p>
        </w:tc>
        <w:tc>
          <w:tcPr>
            <w:tcW w:w="1275" w:type="dxa"/>
            <w:tcBorders>
              <w:top w:val="single" w:sz="4" w:space="0" w:shadow="0" w:frame="0"/>
              <w:left w:val="single" w:sz="4" w:space="0" w:shadow="0" w:frame="0"/>
            </w:tcBorders>
            <w:vAlign w:val="bottom"/>
          </w:tcPr>
          <w:p>
            <w:pPr>
              <w:spacing w:lineRule="auto" w:line="233"/>
              <w:jc w:val="right"/>
              <w:rPr>
                <w:rFonts w:ascii="Arial" w:hAnsi="Arial"/>
                <w:sz w:val="16"/>
              </w:rPr>
            </w:pPr>
          </w:p>
        </w:tc>
        <w:tc>
          <w:tcPr>
            <w:tcW w:w="1276" w:type="dxa"/>
            <w:tcBorders>
              <w:top w:val="single" w:sz="4" w:space="0" w:shadow="0" w:frame="0"/>
            </w:tcBorders>
            <w:vAlign w:val="bottom"/>
          </w:tcPr>
          <w:p>
            <w:pPr>
              <w:spacing w:lineRule="auto" w:line="233"/>
              <w:jc w:val="right"/>
              <w:rPr>
                <w:rFonts w:ascii="Arial" w:hAnsi="Arial"/>
                <w:sz w:val="16"/>
              </w:rPr>
            </w:pPr>
          </w:p>
        </w:tc>
        <w:tc>
          <w:tcPr>
            <w:tcW w:w="1276" w:type="dxa"/>
            <w:tcBorders>
              <w:top w:val="single" w:sz="4" w:space="0" w:shadow="0" w:frame="0"/>
            </w:tcBorders>
            <w:vAlign w:val="bottom"/>
          </w:tcPr>
          <w:p>
            <w:pPr>
              <w:spacing w:lineRule="auto" w:line="233"/>
              <w:jc w:val="right"/>
              <w:rPr>
                <w:rFonts w:ascii="Arial" w:hAnsi="Arial"/>
                <w:sz w:val="16"/>
              </w:rPr>
            </w:pPr>
          </w:p>
        </w:tc>
        <w:tc>
          <w:tcPr>
            <w:tcW w:w="1276" w:type="dxa"/>
            <w:tcBorders>
              <w:top w:val="single" w:sz="4" w:space="0" w:shadow="0" w:frame="0"/>
              <w:left w:val="none" w:sz="0" w:space="0" w:shadow="0" w:frame="0"/>
              <w:right w:val="none" w:sz="0" w:space="0" w:shadow="0" w:frame="0"/>
            </w:tcBorders>
            <w:vAlign w:val="bottom"/>
          </w:tcPr>
          <w:p>
            <w:pPr>
              <w:spacing w:lineRule="auto" w:line="233"/>
              <w:jc w:val="right"/>
              <w:rPr>
                <w:rFonts w:ascii="Arial" w:hAnsi="Arial"/>
                <w:sz w:val="16"/>
              </w:rPr>
            </w:pP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A</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Agriculture, forestry and fishing</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8.7</w:t>
            </w:r>
          </w:p>
        </w:tc>
        <w:tc>
          <w:tcPr>
            <w:tcW w:w="1276" w:type="dxa"/>
            <w:vAlign w:val="bottom"/>
          </w:tcPr>
          <w:p>
            <w:pPr>
              <w:spacing w:lineRule="auto" w:line="233"/>
              <w:ind w:right="227"/>
              <w:jc w:val="right"/>
              <w:rPr>
                <w:rFonts w:ascii="Arial" w:hAnsi="Arial"/>
                <w:sz w:val="16"/>
              </w:rPr>
            </w:pPr>
            <w:r>
              <w:rPr>
                <w:rFonts w:ascii="Arial" w:hAnsi="Arial"/>
                <w:sz w:val="16"/>
              </w:rPr>
              <w:t>0.8</w:t>
            </w:r>
          </w:p>
        </w:tc>
        <w:tc>
          <w:tcPr>
            <w:tcW w:w="1276" w:type="dxa"/>
            <w:vAlign w:val="bottom"/>
          </w:tcPr>
          <w:p>
            <w:pPr>
              <w:spacing w:lineRule="auto" w:line="233"/>
              <w:ind w:right="227"/>
              <w:jc w:val="right"/>
              <w:rPr>
                <w:rFonts w:ascii="Arial" w:hAnsi="Arial"/>
                <w:sz w:val="16"/>
              </w:rPr>
            </w:pPr>
            <w:r>
              <w:rPr>
                <w:rFonts w:ascii="Arial" w:hAnsi="Arial"/>
                <w:sz w:val="16"/>
              </w:rPr>
              <w:t>-0.4</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0.9</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В</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Mining and quarrying</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5.7</w:t>
            </w:r>
          </w:p>
        </w:tc>
        <w:tc>
          <w:tcPr>
            <w:tcW w:w="1276" w:type="dxa"/>
            <w:vAlign w:val="bottom"/>
          </w:tcPr>
          <w:p>
            <w:pPr>
              <w:spacing w:lineRule="auto" w:line="233"/>
              <w:ind w:right="227"/>
              <w:jc w:val="right"/>
              <w:rPr>
                <w:rFonts w:ascii="Arial" w:hAnsi="Arial"/>
                <w:sz w:val="16"/>
              </w:rPr>
            </w:pPr>
            <w:r>
              <w:rPr>
                <w:rFonts w:ascii="Arial" w:hAnsi="Arial"/>
                <w:sz w:val="16"/>
              </w:rPr>
              <w:t>-5.1</w:t>
            </w:r>
          </w:p>
        </w:tc>
        <w:tc>
          <w:tcPr>
            <w:tcW w:w="1276" w:type="dxa"/>
            <w:vAlign w:val="bottom"/>
          </w:tcPr>
          <w:p>
            <w:pPr>
              <w:spacing w:lineRule="auto" w:line="233"/>
              <w:ind w:right="227"/>
              <w:jc w:val="right"/>
              <w:rPr>
                <w:rFonts w:ascii="Arial" w:hAnsi="Arial"/>
                <w:sz w:val="16"/>
              </w:rPr>
            </w:pPr>
            <w:r>
              <w:rPr>
                <w:rFonts w:ascii="Arial" w:hAnsi="Arial"/>
                <w:sz w:val="16"/>
              </w:rPr>
              <w:t>2.8</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9.0</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С</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Manufacturing</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0.8</w:t>
            </w:r>
          </w:p>
        </w:tc>
        <w:tc>
          <w:tcPr>
            <w:tcW w:w="1276" w:type="dxa"/>
            <w:vAlign w:val="bottom"/>
          </w:tcPr>
          <w:p>
            <w:pPr>
              <w:spacing w:lineRule="auto" w:line="233"/>
              <w:ind w:right="227"/>
              <w:jc w:val="right"/>
              <w:rPr>
                <w:rFonts w:ascii="Arial" w:hAnsi="Arial"/>
                <w:sz w:val="16"/>
              </w:rPr>
            </w:pPr>
            <w:r>
              <w:rPr>
                <w:rFonts w:ascii="Arial" w:hAnsi="Arial"/>
                <w:sz w:val="16"/>
              </w:rPr>
              <w:t>-15.8</w:t>
            </w:r>
          </w:p>
        </w:tc>
        <w:tc>
          <w:tcPr>
            <w:tcW w:w="1276" w:type="dxa"/>
            <w:vAlign w:val="bottom"/>
          </w:tcPr>
          <w:p>
            <w:pPr>
              <w:spacing w:lineRule="auto" w:line="233"/>
              <w:ind w:right="227"/>
              <w:jc w:val="right"/>
              <w:rPr>
                <w:rFonts w:ascii="Arial" w:hAnsi="Arial"/>
                <w:sz w:val="16"/>
              </w:rPr>
            </w:pPr>
            <w:r>
              <w:rPr>
                <w:rFonts w:ascii="Arial" w:hAnsi="Arial"/>
                <w:sz w:val="16"/>
              </w:rPr>
              <w:t>0.8</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0.5</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D</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Electricity, gas, steam and air conditioning supply</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2.0</w:t>
            </w:r>
          </w:p>
        </w:tc>
        <w:tc>
          <w:tcPr>
            <w:tcW w:w="1276" w:type="dxa"/>
            <w:vAlign w:val="bottom"/>
          </w:tcPr>
          <w:p>
            <w:pPr>
              <w:spacing w:lineRule="auto" w:line="233"/>
              <w:ind w:right="227"/>
              <w:jc w:val="right"/>
              <w:rPr>
                <w:rFonts w:ascii="Arial" w:hAnsi="Arial"/>
                <w:sz w:val="16"/>
              </w:rPr>
            </w:pPr>
            <w:r>
              <w:rPr>
                <w:rFonts w:ascii="Arial" w:hAnsi="Arial"/>
                <w:sz w:val="16"/>
              </w:rPr>
              <w:t>0.8</w:t>
            </w:r>
          </w:p>
        </w:tc>
        <w:tc>
          <w:tcPr>
            <w:tcW w:w="1276" w:type="dxa"/>
            <w:vAlign w:val="bottom"/>
          </w:tcPr>
          <w:p>
            <w:pPr>
              <w:spacing w:lineRule="auto" w:line="233"/>
              <w:ind w:right="227"/>
              <w:jc w:val="right"/>
              <w:rPr>
                <w:rFonts w:ascii="Arial" w:hAnsi="Arial"/>
                <w:sz w:val="16"/>
              </w:rPr>
            </w:pPr>
            <w:r>
              <w:rPr>
                <w:rFonts w:ascii="Arial" w:hAnsi="Arial"/>
                <w:sz w:val="16"/>
              </w:rPr>
              <w:t>-4.4</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9.7</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Е</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Water supply</w:t>
            </w:r>
            <w:r>
              <w:rPr>
                <w:rFonts w:ascii="Arial" w:hAnsi="Arial"/>
                <w:color w:val="008000"/>
                <w:sz w:val="16"/>
              </w:rPr>
              <w:t>;</w:t>
            </w:r>
            <w:r>
              <w:rPr>
                <w:rFonts w:ascii="Arial" w:hAnsi="Arial"/>
                <w:sz w:val="16"/>
              </w:rPr>
              <w:t xml:space="preserve"> sewerage, waste management and remediation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0.8</w:t>
            </w:r>
          </w:p>
        </w:tc>
        <w:tc>
          <w:tcPr>
            <w:tcW w:w="1276" w:type="dxa"/>
            <w:vAlign w:val="bottom"/>
          </w:tcPr>
          <w:p>
            <w:pPr>
              <w:spacing w:lineRule="auto" w:line="233"/>
              <w:ind w:right="227"/>
              <w:jc w:val="right"/>
              <w:rPr>
                <w:rFonts w:ascii="Arial" w:hAnsi="Arial"/>
                <w:sz w:val="16"/>
              </w:rPr>
            </w:pPr>
            <w:r>
              <w:rPr>
                <w:rFonts w:ascii="Arial" w:hAnsi="Arial"/>
                <w:sz w:val="16"/>
              </w:rPr>
              <w:t>3.4</w:t>
            </w:r>
          </w:p>
        </w:tc>
        <w:tc>
          <w:tcPr>
            <w:tcW w:w="1276" w:type="dxa"/>
            <w:vAlign w:val="bottom"/>
          </w:tcPr>
          <w:p>
            <w:pPr>
              <w:spacing w:lineRule="auto" w:line="233"/>
              <w:ind w:right="227"/>
              <w:jc w:val="right"/>
              <w:rPr>
                <w:rFonts w:ascii="Arial" w:hAnsi="Arial"/>
                <w:sz w:val="16"/>
              </w:rPr>
            </w:pPr>
            <w:r>
              <w:rPr>
                <w:rFonts w:ascii="Arial" w:hAnsi="Arial"/>
                <w:sz w:val="16"/>
              </w:rPr>
              <w:t>-2.3</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0.6</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F</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Construction</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4.7</w:t>
            </w:r>
          </w:p>
        </w:tc>
        <w:tc>
          <w:tcPr>
            <w:tcW w:w="1276" w:type="dxa"/>
            <w:vAlign w:val="bottom"/>
          </w:tcPr>
          <w:p>
            <w:pPr>
              <w:spacing w:lineRule="auto" w:line="233"/>
              <w:ind w:right="227"/>
              <w:jc w:val="right"/>
              <w:rPr>
                <w:rFonts w:ascii="Arial" w:hAnsi="Arial"/>
                <w:sz w:val="16"/>
              </w:rPr>
            </w:pPr>
            <w:r>
              <w:rPr>
                <w:rFonts w:ascii="Arial" w:hAnsi="Arial"/>
                <w:sz w:val="16"/>
              </w:rPr>
              <w:t>-19.7</w:t>
            </w:r>
          </w:p>
        </w:tc>
        <w:tc>
          <w:tcPr>
            <w:tcW w:w="1276" w:type="dxa"/>
            <w:vAlign w:val="bottom"/>
          </w:tcPr>
          <w:p>
            <w:pPr>
              <w:spacing w:lineRule="auto" w:line="233"/>
              <w:ind w:right="227"/>
              <w:jc w:val="right"/>
              <w:rPr>
                <w:rFonts w:ascii="Arial" w:hAnsi="Arial"/>
                <w:sz w:val="16"/>
              </w:rPr>
            </w:pPr>
            <w:r>
              <w:rPr>
                <w:rFonts w:ascii="Arial" w:hAnsi="Arial"/>
                <w:sz w:val="16"/>
              </w:rPr>
              <w:t>-7.1</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10.4</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G</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Wholesale and retail trade; repair of motor vehicles and motorcycles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6.7</w:t>
            </w:r>
          </w:p>
        </w:tc>
        <w:tc>
          <w:tcPr>
            <w:tcW w:w="1276" w:type="dxa"/>
            <w:vAlign w:val="bottom"/>
          </w:tcPr>
          <w:p>
            <w:pPr>
              <w:spacing w:lineRule="auto" w:line="233"/>
              <w:ind w:right="227"/>
              <w:jc w:val="right"/>
              <w:rPr>
                <w:rFonts w:ascii="Arial" w:hAnsi="Arial"/>
                <w:sz w:val="16"/>
              </w:rPr>
            </w:pPr>
            <w:r>
              <w:rPr>
                <w:rFonts w:ascii="Arial" w:hAnsi="Arial"/>
                <w:sz w:val="16"/>
              </w:rPr>
              <w:t>-7.5</w:t>
            </w:r>
          </w:p>
        </w:tc>
        <w:tc>
          <w:tcPr>
            <w:tcW w:w="1276" w:type="dxa"/>
            <w:vAlign w:val="bottom"/>
          </w:tcPr>
          <w:p>
            <w:pPr>
              <w:spacing w:lineRule="auto" w:line="233"/>
              <w:ind w:right="227"/>
              <w:jc w:val="right"/>
              <w:rPr>
                <w:rFonts w:ascii="Arial" w:hAnsi="Arial"/>
                <w:sz w:val="16"/>
              </w:rPr>
            </w:pPr>
            <w:r>
              <w:rPr>
                <w:rFonts w:ascii="Arial" w:hAnsi="Arial"/>
                <w:sz w:val="16"/>
              </w:rPr>
              <w:t>1.7</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-6.5</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Н</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Transportation and storage</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-2.6</w:t>
            </w:r>
          </w:p>
        </w:tc>
        <w:tc>
          <w:tcPr>
            <w:tcW w:w="1276" w:type="dxa"/>
            <w:vAlign w:val="bottom"/>
          </w:tcPr>
          <w:p>
            <w:pPr>
              <w:spacing w:lineRule="auto" w:line="233"/>
              <w:ind w:right="227"/>
              <w:jc w:val="right"/>
              <w:rPr>
                <w:rFonts w:ascii="Arial" w:hAnsi="Arial"/>
                <w:sz w:val="16"/>
              </w:rPr>
            </w:pPr>
            <w:r>
              <w:rPr>
                <w:rFonts w:ascii="Arial" w:hAnsi="Arial"/>
                <w:sz w:val="16"/>
              </w:rPr>
              <w:t>-10.0</w:t>
            </w:r>
          </w:p>
        </w:tc>
        <w:tc>
          <w:tcPr>
            <w:tcW w:w="1276" w:type="dxa"/>
            <w:vAlign w:val="bottom"/>
          </w:tcPr>
          <w:p>
            <w:pPr>
              <w:spacing w:lineRule="auto" w:line="233"/>
              <w:ind w:right="227"/>
              <w:jc w:val="right"/>
              <w:rPr>
                <w:rFonts w:ascii="Arial" w:hAnsi="Arial"/>
                <w:sz w:val="16"/>
              </w:rPr>
            </w:pPr>
            <w:r>
              <w:rPr>
                <w:rFonts w:ascii="Arial" w:hAnsi="Arial"/>
                <w:sz w:val="16"/>
              </w:rPr>
              <w:t>8.2</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2.9</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I</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Accommodation and food service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0.8</w:t>
            </w:r>
          </w:p>
        </w:tc>
        <w:tc>
          <w:tcPr>
            <w:tcW w:w="1276" w:type="dxa"/>
            <w:vAlign w:val="bottom"/>
          </w:tcPr>
          <w:p>
            <w:pPr>
              <w:spacing w:lineRule="auto" w:line="233"/>
              <w:ind w:right="227"/>
              <w:jc w:val="right"/>
              <w:rPr>
                <w:rFonts w:ascii="Arial" w:hAnsi="Arial"/>
                <w:sz w:val="16"/>
              </w:rPr>
            </w:pPr>
            <w:r>
              <w:rPr>
                <w:rFonts w:ascii="Arial" w:hAnsi="Arial"/>
                <w:sz w:val="16"/>
              </w:rPr>
              <w:t>-10.0</w:t>
            </w:r>
          </w:p>
        </w:tc>
        <w:tc>
          <w:tcPr>
            <w:tcW w:w="1276" w:type="dxa"/>
            <w:vAlign w:val="bottom"/>
          </w:tcPr>
          <w:p>
            <w:pPr>
              <w:spacing w:lineRule="auto" w:line="233"/>
              <w:ind w:right="227"/>
              <w:jc w:val="right"/>
              <w:rPr>
                <w:rFonts w:ascii="Arial" w:hAnsi="Arial"/>
                <w:sz w:val="16"/>
              </w:rPr>
            </w:pPr>
            <w:r>
              <w:rPr>
                <w:rFonts w:ascii="Arial" w:hAnsi="Arial"/>
                <w:sz w:val="16"/>
              </w:rPr>
              <w:t>-1.7</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2.1</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Ј</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Information and communication</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10.8</w:t>
            </w:r>
          </w:p>
        </w:tc>
        <w:tc>
          <w:tcPr>
            <w:tcW w:w="1276" w:type="dxa"/>
            <w:vAlign w:val="bottom"/>
          </w:tcPr>
          <w:p>
            <w:pPr>
              <w:spacing w:lineRule="auto" w:line="233"/>
              <w:ind w:right="227"/>
              <w:jc w:val="right"/>
              <w:rPr>
                <w:rFonts w:ascii="Arial" w:hAnsi="Arial"/>
                <w:sz w:val="16"/>
              </w:rPr>
            </w:pPr>
            <w:r>
              <w:rPr>
                <w:rFonts w:ascii="Arial" w:hAnsi="Arial"/>
                <w:sz w:val="16"/>
              </w:rPr>
              <w:t>10.0</w:t>
            </w:r>
          </w:p>
        </w:tc>
        <w:tc>
          <w:tcPr>
            <w:tcW w:w="1276" w:type="dxa"/>
            <w:vAlign w:val="bottom"/>
          </w:tcPr>
          <w:p>
            <w:pPr>
              <w:spacing w:lineRule="auto" w:line="233"/>
              <w:ind w:right="227"/>
              <w:jc w:val="right"/>
              <w:rPr>
                <w:rFonts w:ascii="Arial" w:hAnsi="Arial"/>
                <w:sz w:val="16"/>
              </w:rPr>
            </w:pPr>
            <w:r>
              <w:rPr>
                <w:rFonts w:ascii="Arial" w:hAnsi="Arial"/>
                <w:sz w:val="16"/>
              </w:rPr>
              <w:t>5.4</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10.7</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К</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Financial and insurance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13.4</w:t>
            </w:r>
          </w:p>
        </w:tc>
        <w:tc>
          <w:tcPr>
            <w:tcW w:w="1276" w:type="dxa"/>
            <w:vAlign w:val="bottom"/>
          </w:tcPr>
          <w:p>
            <w:pPr>
              <w:spacing w:lineRule="auto" w:line="233"/>
              <w:ind w:right="227"/>
              <w:jc w:val="right"/>
              <w:rPr>
                <w:rFonts w:ascii="Arial" w:hAnsi="Arial"/>
                <w:sz w:val="16"/>
              </w:rPr>
            </w:pPr>
            <w:r>
              <w:rPr>
                <w:rFonts w:ascii="Arial" w:hAnsi="Arial"/>
                <w:sz w:val="16"/>
              </w:rPr>
              <w:t>5.5</w:t>
            </w:r>
          </w:p>
        </w:tc>
        <w:tc>
          <w:tcPr>
            <w:tcW w:w="1276" w:type="dxa"/>
            <w:vAlign w:val="bottom"/>
          </w:tcPr>
          <w:p>
            <w:pPr>
              <w:spacing w:lineRule="auto" w:line="233"/>
              <w:ind w:right="227"/>
              <w:jc w:val="right"/>
              <w:rPr>
                <w:rFonts w:ascii="Arial" w:hAnsi="Arial"/>
                <w:sz w:val="16"/>
              </w:rPr>
            </w:pPr>
            <w:r>
              <w:rPr>
                <w:rFonts w:ascii="Arial" w:hAnsi="Arial"/>
                <w:sz w:val="16"/>
              </w:rPr>
              <w:t>7.2</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-0.1</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L</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Real estate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4.1</w:t>
            </w:r>
          </w:p>
        </w:tc>
        <w:tc>
          <w:tcPr>
            <w:tcW w:w="1276" w:type="dxa"/>
            <w:vAlign w:val="bottom"/>
          </w:tcPr>
          <w:p>
            <w:pPr>
              <w:spacing w:lineRule="auto" w:line="233"/>
              <w:ind w:right="227"/>
              <w:jc w:val="right"/>
              <w:rPr>
                <w:rFonts w:ascii="Arial" w:hAnsi="Arial"/>
                <w:sz w:val="16"/>
              </w:rPr>
            </w:pPr>
            <w:r>
              <w:rPr>
                <w:rFonts w:ascii="Arial" w:hAnsi="Arial"/>
                <w:sz w:val="16"/>
              </w:rPr>
              <w:t>1.3</w:t>
            </w:r>
          </w:p>
        </w:tc>
        <w:tc>
          <w:tcPr>
            <w:tcW w:w="1276" w:type="dxa"/>
            <w:vAlign w:val="bottom"/>
          </w:tcPr>
          <w:p>
            <w:pPr>
              <w:spacing w:lineRule="auto" w:line="233"/>
              <w:ind w:right="227"/>
              <w:jc w:val="right"/>
              <w:rPr>
                <w:rFonts w:ascii="Arial" w:hAnsi="Arial"/>
                <w:sz w:val="16"/>
              </w:rPr>
            </w:pPr>
            <w:r>
              <w:rPr>
                <w:rFonts w:ascii="Arial" w:hAnsi="Arial"/>
                <w:sz w:val="16"/>
              </w:rPr>
              <w:t>3.5</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0.7</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M</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Professional, scientific and technical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8.5</w:t>
            </w:r>
          </w:p>
        </w:tc>
        <w:tc>
          <w:tcPr>
            <w:tcW w:w="1276" w:type="dxa"/>
            <w:vAlign w:val="bottom"/>
          </w:tcPr>
          <w:p>
            <w:pPr>
              <w:spacing w:lineRule="auto" w:line="233"/>
              <w:ind w:right="227"/>
              <w:jc w:val="right"/>
              <w:rPr>
                <w:rFonts w:ascii="Arial" w:hAnsi="Arial"/>
                <w:sz w:val="16"/>
              </w:rPr>
            </w:pPr>
            <w:r>
              <w:rPr>
                <w:rFonts w:ascii="Arial" w:hAnsi="Arial"/>
                <w:sz w:val="16"/>
              </w:rPr>
              <w:t>7.0</w:t>
            </w:r>
          </w:p>
        </w:tc>
        <w:tc>
          <w:tcPr>
            <w:tcW w:w="1276" w:type="dxa"/>
            <w:vAlign w:val="bottom"/>
          </w:tcPr>
          <w:p>
            <w:pPr>
              <w:spacing w:lineRule="auto" w:line="233"/>
              <w:ind w:right="227"/>
              <w:jc w:val="right"/>
              <w:rPr>
                <w:rFonts w:ascii="Arial" w:hAnsi="Arial"/>
                <w:sz w:val="16"/>
              </w:rPr>
            </w:pPr>
            <w:r>
              <w:rPr>
                <w:rFonts w:ascii="Arial" w:hAnsi="Arial"/>
                <w:sz w:val="16"/>
              </w:rPr>
              <w:t>4.0</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2.2</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N</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Administrative and support service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18.1</w:t>
            </w:r>
          </w:p>
        </w:tc>
        <w:tc>
          <w:tcPr>
            <w:tcW w:w="1276" w:type="dxa"/>
            <w:vAlign w:val="bottom"/>
          </w:tcPr>
          <w:p>
            <w:pPr>
              <w:spacing w:lineRule="auto" w:line="233"/>
              <w:ind w:right="227"/>
              <w:jc w:val="right"/>
              <w:rPr>
                <w:rFonts w:ascii="Arial" w:hAnsi="Arial"/>
                <w:sz w:val="16"/>
              </w:rPr>
            </w:pPr>
            <w:r>
              <w:rPr>
                <w:rFonts w:ascii="Arial" w:hAnsi="Arial"/>
                <w:sz w:val="16"/>
              </w:rPr>
              <w:t>11.3</w:t>
            </w:r>
          </w:p>
        </w:tc>
        <w:tc>
          <w:tcPr>
            <w:tcW w:w="1276" w:type="dxa"/>
            <w:vAlign w:val="bottom"/>
          </w:tcPr>
          <w:p>
            <w:pPr>
              <w:spacing w:lineRule="auto" w:line="233"/>
              <w:ind w:right="227"/>
              <w:jc w:val="right"/>
              <w:rPr>
                <w:rFonts w:ascii="Arial" w:hAnsi="Arial"/>
                <w:sz w:val="16"/>
              </w:rPr>
            </w:pPr>
            <w:r>
              <w:rPr>
                <w:rFonts w:ascii="Arial" w:hAnsi="Arial"/>
                <w:sz w:val="16"/>
              </w:rPr>
              <w:t>7.5</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1.0</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O</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Public administration and defence; compulsory social security</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1.1</w:t>
            </w:r>
          </w:p>
        </w:tc>
        <w:tc>
          <w:tcPr>
            <w:tcW w:w="1276" w:type="dxa"/>
            <w:vAlign w:val="bottom"/>
          </w:tcPr>
          <w:p>
            <w:pPr>
              <w:spacing w:lineRule="auto" w:line="233"/>
              <w:ind w:right="227"/>
              <w:jc w:val="right"/>
              <w:rPr>
                <w:rFonts w:ascii="Arial" w:hAnsi="Arial"/>
                <w:sz w:val="16"/>
              </w:rPr>
            </w:pPr>
            <w:r>
              <w:rPr>
                <w:rFonts w:ascii="Arial" w:hAnsi="Arial"/>
                <w:sz w:val="16"/>
              </w:rPr>
              <w:t>2.6</w:t>
            </w:r>
          </w:p>
        </w:tc>
        <w:tc>
          <w:tcPr>
            <w:tcW w:w="1276" w:type="dxa"/>
            <w:vAlign w:val="bottom"/>
          </w:tcPr>
          <w:p>
            <w:pPr>
              <w:spacing w:lineRule="auto" w:line="233"/>
              <w:ind w:right="227"/>
              <w:jc w:val="right"/>
              <w:rPr>
                <w:rFonts w:ascii="Arial" w:hAnsi="Arial"/>
                <w:sz w:val="16"/>
              </w:rPr>
            </w:pPr>
            <w:r>
              <w:rPr>
                <w:rFonts w:ascii="Arial" w:hAnsi="Arial"/>
                <w:sz w:val="16"/>
              </w:rPr>
              <w:t>-1.9</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0.8</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P</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Education</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-0.2</w:t>
            </w:r>
          </w:p>
        </w:tc>
        <w:tc>
          <w:tcPr>
            <w:tcW w:w="1276" w:type="dxa"/>
            <w:vAlign w:val="bottom"/>
          </w:tcPr>
          <w:p>
            <w:pPr>
              <w:spacing w:lineRule="auto" w:line="233"/>
              <w:ind w:right="227"/>
              <w:jc w:val="right"/>
              <w:rPr>
                <w:rFonts w:ascii="Arial" w:hAnsi="Arial"/>
                <w:sz w:val="16"/>
              </w:rPr>
            </w:pPr>
            <w:r>
              <w:rPr>
                <w:rFonts w:ascii="Arial" w:hAnsi="Arial"/>
                <w:sz w:val="16"/>
              </w:rPr>
              <w:t>0.1</w:t>
            </w:r>
          </w:p>
        </w:tc>
        <w:tc>
          <w:tcPr>
            <w:tcW w:w="1276" w:type="dxa"/>
            <w:vAlign w:val="bottom"/>
          </w:tcPr>
          <w:p>
            <w:pPr>
              <w:spacing w:lineRule="auto" w:line="233"/>
              <w:ind w:right="227"/>
              <w:jc w:val="right"/>
              <w:rPr>
                <w:rFonts w:ascii="Arial" w:hAnsi="Arial"/>
                <w:sz w:val="16"/>
              </w:rPr>
            </w:pPr>
            <w:r>
              <w:rPr>
                <w:rFonts w:ascii="Arial" w:hAnsi="Arial"/>
                <w:sz w:val="16"/>
              </w:rPr>
              <w:t>-1.3</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-2.8</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Q</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Human health and social work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2.8</w:t>
            </w:r>
          </w:p>
        </w:tc>
        <w:tc>
          <w:tcPr>
            <w:tcW w:w="1276" w:type="dxa"/>
            <w:vAlign w:val="bottom"/>
          </w:tcPr>
          <w:p>
            <w:pPr>
              <w:spacing w:lineRule="auto" w:line="233"/>
              <w:ind w:right="227"/>
              <w:jc w:val="right"/>
              <w:rPr>
                <w:rFonts w:ascii="Arial" w:hAnsi="Arial"/>
                <w:sz w:val="16"/>
              </w:rPr>
            </w:pPr>
            <w:r>
              <w:rPr>
                <w:rFonts w:ascii="Arial" w:hAnsi="Arial"/>
                <w:sz w:val="16"/>
              </w:rPr>
              <w:t>0.6</w:t>
            </w:r>
          </w:p>
        </w:tc>
        <w:tc>
          <w:tcPr>
            <w:tcW w:w="1276" w:type="dxa"/>
            <w:vAlign w:val="bottom"/>
          </w:tcPr>
          <w:p>
            <w:pPr>
              <w:spacing w:lineRule="auto" w:line="233"/>
              <w:ind w:right="227"/>
              <w:jc w:val="right"/>
              <w:rPr>
                <w:rFonts w:ascii="Arial" w:hAnsi="Arial"/>
                <w:sz w:val="16"/>
              </w:rPr>
            </w:pPr>
            <w:r>
              <w:rPr>
                <w:rFonts w:ascii="Arial" w:hAnsi="Arial"/>
                <w:sz w:val="16"/>
              </w:rPr>
              <w:t>0.8</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-0.9</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R</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Arts, entertainment and recreation</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10.1</w:t>
            </w:r>
          </w:p>
        </w:tc>
        <w:tc>
          <w:tcPr>
            <w:tcW w:w="1276" w:type="dxa"/>
            <w:vAlign w:val="bottom"/>
          </w:tcPr>
          <w:p>
            <w:pPr>
              <w:spacing w:lineRule="auto" w:line="233"/>
              <w:ind w:right="227"/>
              <w:jc w:val="right"/>
              <w:rPr>
                <w:rFonts w:ascii="Arial" w:hAnsi="Arial"/>
                <w:sz w:val="16"/>
              </w:rPr>
            </w:pPr>
            <w:r>
              <w:rPr>
                <w:rFonts w:ascii="Arial" w:hAnsi="Arial"/>
                <w:sz w:val="16"/>
              </w:rPr>
              <w:t>6.0</w:t>
            </w:r>
          </w:p>
        </w:tc>
        <w:tc>
          <w:tcPr>
            <w:tcW w:w="1276" w:type="dxa"/>
            <w:vAlign w:val="bottom"/>
          </w:tcPr>
          <w:p>
            <w:pPr>
              <w:spacing w:lineRule="auto" w:line="233"/>
              <w:ind w:right="227"/>
              <w:jc w:val="right"/>
              <w:rPr>
                <w:rFonts w:ascii="Arial" w:hAnsi="Arial"/>
                <w:sz w:val="16"/>
              </w:rPr>
            </w:pPr>
            <w:r>
              <w:rPr>
                <w:rFonts w:ascii="Arial" w:hAnsi="Arial"/>
                <w:sz w:val="16"/>
              </w:rPr>
              <w:t>1.9</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6.1</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S</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Other service activities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4.2</w:t>
            </w:r>
          </w:p>
        </w:tc>
        <w:tc>
          <w:tcPr>
            <w:tcW w:w="1276" w:type="dxa"/>
            <w:vAlign w:val="bottom"/>
          </w:tcPr>
          <w:p>
            <w:pPr>
              <w:spacing w:lineRule="auto" w:line="233"/>
              <w:ind w:right="227"/>
              <w:jc w:val="right"/>
              <w:rPr>
                <w:rFonts w:ascii="Arial" w:hAnsi="Arial"/>
                <w:sz w:val="16"/>
              </w:rPr>
            </w:pPr>
            <w:r>
              <w:rPr>
                <w:rFonts w:ascii="Arial" w:hAnsi="Arial"/>
                <w:sz w:val="16"/>
              </w:rPr>
              <w:t>3.4</w:t>
            </w:r>
          </w:p>
        </w:tc>
        <w:tc>
          <w:tcPr>
            <w:tcW w:w="1276" w:type="dxa"/>
            <w:vAlign w:val="bottom"/>
          </w:tcPr>
          <w:p>
            <w:pPr>
              <w:spacing w:lineRule="auto" w:line="233"/>
              <w:ind w:right="227"/>
              <w:jc w:val="right"/>
              <w:rPr>
                <w:rFonts w:ascii="Arial" w:hAnsi="Arial"/>
                <w:sz w:val="16"/>
              </w:rPr>
            </w:pPr>
            <w:r>
              <w:rPr>
                <w:rFonts w:ascii="Arial" w:hAnsi="Arial"/>
                <w:sz w:val="16"/>
              </w:rPr>
              <w:t>-12.0</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12.4</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r>
              <w:rPr>
                <w:rFonts w:ascii="Arial" w:hAnsi="Arial"/>
                <w:sz w:val="16"/>
              </w:rPr>
              <w:t>T</w:t>
            </w: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Activities of households as employers; undifferentiated goods-and services-producing activities of households for own use</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4.5</w:t>
            </w:r>
          </w:p>
        </w:tc>
        <w:tc>
          <w:tcPr>
            <w:tcW w:w="1276" w:type="dxa"/>
            <w:vAlign w:val="bottom"/>
          </w:tcPr>
          <w:p>
            <w:pPr>
              <w:spacing w:lineRule="auto" w:line="233"/>
              <w:ind w:right="227"/>
              <w:jc w:val="right"/>
              <w:rPr>
                <w:rFonts w:ascii="Arial" w:hAnsi="Arial"/>
                <w:sz w:val="16"/>
              </w:rPr>
            </w:pPr>
            <w:r>
              <w:rPr>
                <w:rFonts w:ascii="Arial" w:hAnsi="Arial"/>
                <w:sz w:val="16"/>
              </w:rPr>
              <w:t>3.5</w:t>
            </w:r>
          </w:p>
        </w:tc>
        <w:tc>
          <w:tcPr>
            <w:tcW w:w="1276" w:type="dxa"/>
            <w:vAlign w:val="bottom"/>
          </w:tcPr>
          <w:p>
            <w:pPr>
              <w:spacing w:lineRule="auto" w:line="233"/>
              <w:ind w:right="227"/>
              <w:jc w:val="right"/>
              <w:rPr>
                <w:rFonts w:ascii="Arial" w:hAnsi="Arial"/>
                <w:sz w:val="16"/>
              </w:rPr>
            </w:pPr>
            <w:r>
              <w:rPr>
                <w:rFonts w:ascii="Arial" w:hAnsi="Arial"/>
                <w:sz w:val="16"/>
              </w:rPr>
              <w:t>3.5</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6.9</w:t>
            </w:r>
          </w:p>
        </w:tc>
      </w:tr>
      <w:tr>
        <w:trPr>
          <w:wAfter w:w="0" w:type="dxa"/>
          <w:trHeight w:hRule="atLeast" w:val="80"/>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0"/>
              </w:rPr>
            </w:pPr>
          </w:p>
        </w:tc>
        <w:tc>
          <w:tcPr>
            <w:tcW w:w="1275" w:type="dxa"/>
            <w:tcBorders>
              <w:left w:val="single" w:sz="4" w:space="0" w:shadow="0" w:frame="0"/>
            </w:tcBorders>
            <w:vAlign w:val="bottom"/>
          </w:tcPr>
          <w:p>
            <w:pPr>
              <w:spacing w:lineRule="auto" w:line="233"/>
              <w:ind w:right="227"/>
              <w:jc w:val="right"/>
              <w:rPr>
                <w:rFonts w:ascii="Arial" w:hAnsi="Arial"/>
                <w:sz w:val="16"/>
              </w:rPr>
            </w:pPr>
          </w:p>
        </w:tc>
        <w:tc>
          <w:tcPr>
            <w:tcW w:w="1276" w:type="dxa"/>
            <w:vAlign w:val="bottom"/>
          </w:tcPr>
          <w:p>
            <w:pPr>
              <w:spacing w:lineRule="auto" w:line="233"/>
              <w:ind w:right="227"/>
              <w:jc w:val="right"/>
              <w:rPr>
                <w:rFonts w:ascii="Arial" w:hAnsi="Arial"/>
                <w:sz w:val="16"/>
              </w:rPr>
            </w:pPr>
          </w:p>
        </w:tc>
        <w:tc>
          <w:tcPr>
            <w:tcW w:w="1276" w:type="dxa"/>
            <w:vAlign w:val="bottom"/>
          </w:tcPr>
          <w:p>
            <w:pPr>
              <w:spacing w:lineRule="auto" w:line="233"/>
              <w:ind w:right="227"/>
              <w:jc w:val="right"/>
              <w:rPr>
                <w:rFonts w:ascii="Arial" w:hAnsi="Arial"/>
                <w:sz w:val="16"/>
              </w:rPr>
            </w:pP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b w:val="1"/>
                <w:sz w:val="16"/>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Activities – total</w:t>
            </w:r>
          </w:p>
        </w:tc>
        <w:tc>
          <w:tcPr>
            <w:tcW w:w="1275" w:type="dxa"/>
            <w:tcBorders>
              <w:left w:val="single" w:sz="4" w:space="0" w:shadow="0" w:frame="0"/>
            </w:tcBorders>
            <w:vAlign w:val="bottom"/>
          </w:tcPr>
          <w:p>
            <w:pPr>
              <w:spacing w:lineRule="auto" w:line="233"/>
              <w:ind w:right="227"/>
              <w:jc w:val="right"/>
              <w:rPr>
                <w:rFonts w:ascii="Arial" w:hAnsi="Arial"/>
                <w:b w:val="1"/>
                <w:sz w:val="16"/>
              </w:rPr>
            </w:pPr>
            <w:r>
              <w:rPr>
                <w:rFonts w:ascii="Arial" w:hAnsi="Arial"/>
                <w:b w:val="1"/>
                <w:sz w:val="16"/>
              </w:rPr>
              <w:t>4</w:t>
            </w:r>
            <w:r>
              <w:rPr>
                <w:rFonts w:ascii="Arial" w:hAnsi="Arial"/>
                <w:b w:val="1"/>
                <w:sz w:val="16"/>
              </w:rPr>
              <w:t>.</w:t>
            </w:r>
            <w:r>
              <w:rPr>
                <w:rFonts w:ascii="Arial" w:hAnsi="Arial"/>
                <w:b w:val="1"/>
                <w:sz w:val="16"/>
              </w:rPr>
              <w:t>5</w:t>
            </w:r>
          </w:p>
        </w:tc>
        <w:tc>
          <w:tcPr>
            <w:tcW w:w="1276" w:type="dxa"/>
            <w:vAlign w:val="bottom"/>
          </w:tcPr>
          <w:p>
            <w:pPr>
              <w:spacing w:lineRule="auto" w:line="233"/>
              <w:ind w:right="227"/>
              <w:jc w:val="right"/>
              <w:rPr>
                <w:rFonts w:ascii="Arial" w:hAnsi="Arial"/>
                <w:b w:val="1"/>
                <w:sz w:val="16"/>
              </w:rPr>
            </w:pPr>
            <w:r>
              <w:rPr>
                <w:rFonts w:ascii="Arial" w:hAnsi="Arial"/>
                <w:b w:val="1"/>
                <w:sz w:val="16"/>
              </w:rPr>
              <w:t>-3</w:t>
            </w:r>
            <w:r>
              <w:rPr>
                <w:rFonts w:ascii="Arial" w:hAnsi="Arial"/>
                <w:b w:val="1"/>
                <w:sz w:val="16"/>
              </w:rPr>
              <w:t>.</w:t>
            </w:r>
            <w:r>
              <w:rPr>
                <w:rFonts w:ascii="Arial" w:hAnsi="Arial"/>
                <w:b w:val="1"/>
                <w:sz w:val="16"/>
              </w:rPr>
              <w:t>6</w:t>
            </w:r>
          </w:p>
        </w:tc>
        <w:tc>
          <w:tcPr>
            <w:tcW w:w="1276" w:type="dxa"/>
            <w:vAlign w:val="bottom"/>
          </w:tcPr>
          <w:p>
            <w:pPr>
              <w:spacing w:lineRule="auto" w:line="233"/>
              <w:ind w:right="227"/>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2</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5</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Financial intermediation services indirectly measured – FISIM (-)</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13.6</w:t>
            </w:r>
          </w:p>
        </w:tc>
        <w:tc>
          <w:tcPr>
            <w:tcW w:w="1276" w:type="dxa"/>
            <w:vAlign w:val="bottom"/>
          </w:tcPr>
          <w:p>
            <w:pPr>
              <w:spacing w:lineRule="auto" w:line="233"/>
              <w:ind w:right="227"/>
              <w:jc w:val="right"/>
              <w:rPr>
                <w:rFonts w:ascii="Arial" w:hAnsi="Arial"/>
                <w:sz w:val="16"/>
              </w:rPr>
            </w:pPr>
            <w:r>
              <w:rPr>
                <w:rFonts w:ascii="Arial" w:hAnsi="Arial"/>
                <w:sz w:val="16"/>
              </w:rPr>
              <w:t>7.6</w:t>
            </w:r>
          </w:p>
        </w:tc>
        <w:tc>
          <w:tcPr>
            <w:tcW w:w="1276" w:type="dxa"/>
            <w:vAlign w:val="bottom"/>
          </w:tcPr>
          <w:p>
            <w:pPr>
              <w:spacing w:lineRule="auto" w:line="233"/>
              <w:ind w:right="227"/>
              <w:jc w:val="right"/>
              <w:rPr>
                <w:rFonts w:ascii="Arial" w:hAnsi="Arial"/>
                <w:sz w:val="16"/>
              </w:rPr>
            </w:pPr>
            <w:r>
              <w:rPr>
                <w:rFonts w:ascii="Arial" w:hAnsi="Arial"/>
                <w:sz w:val="16"/>
              </w:rPr>
              <w:t>8.0</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-0.6</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before="40"/>
              <w:jc w:val="center"/>
              <w:rPr>
                <w:rFonts w:ascii="Arial" w:hAnsi="Arial"/>
                <w:b w:val="1"/>
                <w:sz w:val="16"/>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Gross value added (GVA)</w:t>
            </w:r>
          </w:p>
        </w:tc>
        <w:tc>
          <w:tcPr>
            <w:tcW w:w="1275" w:type="dxa"/>
            <w:tcBorders>
              <w:left w:val="single" w:sz="4" w:space="0" w:shadow="0" w:frame="0"/>
            </w:tcBorders>
            <w:vAlign w:val="bottom"/>
          </w:tcPr>
          <w:p>
            <w:pPr>
              <w:spacing w:lineRule="auto" w:line="233" w:before="40"/>
              <w:ind w:right="227"/>
              <w:jc w:val="right"/>
              <w:rPr>
                <w:rFonts w:ascii="Arial" w:hAnsi="Arial"/>
                <w:b w:val="1"/>
                <w:sz w:val="16"/>
              </w:rPr>
            </w:pPr>
            <w:r>
              <w:rPr>
                <w:rFonts w:ascii="Arial" w:hAnsi="Arial"/>
                <w:b w:val="1"/>
                <w:sz w:val="16"/>
              </w:rPr>
              <w:t>4</w:t>
            </w:r>
            <w:r>
              <w:rPr>
                <w:rFonts w:ascii="Arial" w:hAnsi="Arial"/>
                <w:b w:val="1"/>
                <w:sz w:val="16"/>
              </w:rPr>
              <w:t>.</w:t>
            </w:r>
            <w:r>
              <w:rPr>
                <w:rFonts w:ascii="Arial" w:hAnsi="Arial"/>
                <w:b w:val="1"/>
                <w:sz w:val="16"/>
              </w:rPr>
              <w:t>3</w:t>
            </w:r>
          </w:p>
        </w:tc>
        <w:tc>
          <w:tcPr>
            <w:tcW w:w="1276" w:type="dxa"/>
            <w:vAlign w:val="bottom"/>
          </w:tcPr>
          <w:p>
            <w:pPr>
              <w:spacing w:lineRule="auto" w:line="233" w:before="40"/>
              <w:ind w:right="227"/>
              <w:jc w:val="right"/>
              <w:rPr>
                <w:rFonts w:ascii="Arial" w:hAnsi="Arial"/>
                <w:b w:val="1"/>
                <w:sz w:val="16"/>
              </w:rPr>
            </w:pPr>
            <w:r>
              <w:rPr>
                <w:rFonts w:ascii="Arial" w:hAnsi="Arial"/>
                <w:b w:val="1"/>
                <w:sz w:val="16"/>
              </w:rPr>
              <w:t>-3</w:t>
            </w:r>
            <w:r>
              <w:rPr>
                <w:rFonts w:ascii="Arial" w:hAnsi="Arial"/>
                <w:b w:val="1"/>
                <w:sz w:val="16"/>
              </w:rPr>
              <w:t>.</w:t>
            </w:r>
            <w:r>
              <w:rPr>
                <w:rFonts w:ascii="Arial" w:hAnsi="Arial"/>
                <w:b w:val="1"/>
                <w:sz w:val="16"/>
              </w:rPr>
              <w:t>9</w:t>
            </w:r>
          </w:p>
        </w:tc>
        <w:tc>
          <w:tcPr>
            <w:tcW w:w="1276" w:type="dxa"/>
            <w:vAlign w:val="bottom"/>
          </w:tcPr>
          <w:p>
            <w:pPr>
              <w:spacing w:lineRule="auto" w:line="233" w:before="40"/>
              <w:ind w:right="227"/>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0</w:t>
            </w:r>
          </w:p>
        </w:tc>
        <w:tc>
          <w:tcPr>
            <w:tcW w:w="1276" w:type="dxa"/>
            <w:tcBorders>
              <w:left w:val="none" w:sz="0" w:space="0" w:shadow="0" w:frame="0"/>
              <w:right w:val="none" w:sz="0" w:space="0" w:shadow="0" w:frame="0"/>
            </w:tcBorders>
            <w:vAlign w:val="bottom"/>
          </w:tcPr>
          <w:p>
            <w:pPr>
              <w:spacing w:lineRule="auto" w:line="233" w:before="40"/>
              <w:ind w:right="227"/>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6</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8"/>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0"/>
              </w:rPr>
            </w:pPr>
          </w:p>
        </w:tc>
        <w:tc>
          <w:tcPr>
            <w:tcW w:w="1275" w:type="dxa"/>
            <w:tcBorders>
              <w:left w:val="single" w:sz="4" w:space="0" w:shadow="0" w:frame="0"/>
            </w:tcBorders>
            <w:vAlign w:val="bottom"/>
          </w:tcPr>
          <w:p>
            <w:pPr>
              <w:spacing w:lineRule="auto" w:line="233"/>
              <w:ind w:right="227"/>
              <w:jc w:val="right"/>
              <w:rPr>
                <w:rFonts w:ascii="Arial" w:hAnsi="Arial"/>
                <w:sz w:val="8"/>
              </w:rPr>
            </w:pPr>
          </w:p>
        </w:tc>
        <w:tc>
          <w:tcPr>
            <w:tcW w:w="1276" w:type="dxa"/>
            <w:vAlign w:val="bottom"/>
          </w:tcPr>
          <w:p>
            <w:pPr>
              <w:spacing w:lineRule="auto" w:line="233"/>
              <w:ind w:right="227"/>
              <w:jc w:val="right"/>
              <w:rPr>
                <w:rFonts w:ascii="Arial" w:hAnsi="Arial"/>
                <w:sz w:val="8"/>
              </w:rPr>
            </w:pPr>
          </w:p>
        </w:tc>
        <w:tc>
          <w:tcPr>
            <w:tcW w:w="1276" w:type="dxa"/>
            <w:vAlign w:val="bottom"/>
          </w:tcPr>
          <w:p>
            <w:pPr>
              <w:spacing w:lineRule="auto" w:line="233"/>
              <w:ind w:right="227"/>
              <w:jc w:val="right"/>
              <w:rPr>
                <w:rFonts w:ascii="Arial" w:hAnsi="Arial"/>
                <w:sz w:val="8"/>
              </w:rPr>
            </w:pP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8"/>
              </w:rPr>
            </w:pP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16"/>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Net taxes</w:t>
            </w:r>
          </w:p>
        </w:tc>
        <w:tc>
          <w:tcPr>
            <w:tcW w:w="1275" w:type="dxa"/>
            <w:tcBorders>
              <w:left w:val="single" w:sz="4" w:space="0" w:shadow="0" w:frame="0"/>
            </w:tcBorders>
            <w:vAlign w:val="bottom"/>
          </w:tcPr>
          <w:p>
            <w:pPr>
              <w:spacing w:lineRule="auto" w:line="233"/>
              <w:ind w:right="227"/>
              <w:jc w:val="right"/>
              <w:rPr>
                <w:rFonts w:ascii="Arial" w:hAnsi="Arial"/>
                <w:sz w:val="16"/>
              </w:rPr>
            </w:pPr>
            <w:r>
              <w:rPr>
                <w:rFonts w:ascii="Arial" w:hAnsi="Arial"/>
                <w:sz w:val="16"/>
              </w:rPr>
              <w:t>1.4</w:t>
            </w:r>
          </w:p>
        </w:tc>
        <w:tc>
          <w:tcPr>
            <w:tcW w:w="1276" w:type="dxa"/>
            <w:vAlign w:val="bottom"/>
          </w:tcPr>
          <w:p>
            <w:pPr>
              <w:spacing w:lineRule="auto" w:line="233"/>
              <w:ind w:right="227"/>
              <w:jc w:val="right"/>
              <w:rPr>
                <w:rFonts w:ascii="Arial" w:hAnsi="Arial"/>
                <w:sz w:val="16"/>
              </w:rPr>
            </w:pPr>
            <w:r>
              <w:rPr>
                <w:rFonts w:ascii="Arial" w:hAnsi="Arial"/>
                <w:sz w:val="16"/>
              </w:rPr>
              <w:t>-1.7</w:t>
            </w:r>
          </w:p>
        </w:tc>
        <w:tc>
          <w:tcPr>
            <w:tcW w:w="1276" w:type="dxa"/>
            <w:vAlign w:val="bottom"/>
          </w:tcPr>
          <w:p>
            <w:pPr>
              <w:spacing w:lineRule="auto" w:line="233"/>
              <w:ind w:right="227"/>
              <w:jc w:val="right"/>
              <w:rPr>
                <w:rFonts w:ascii="Arial" w:hAnsi="Arial"/>
                <w:sz w:val="16"/>
              </w:rPr>
            </w:pPr>
            <w:r>
              <w:rPr>
                <w:rFonts w:ascii="Arial" w:hAnsi="Arial"/>
                <w:sz w:val="16"/>
              </w:rPr>
              <w:t>0.9</w:t>
            </w: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16"/>
              </w:rPr>
            </w:pPr>
            <w:r>
              <w:rPr>
                <w:rFonts w:ascii="Arial" w:hAnsi="Arial"/>
                <w:sz w:val="16"/>
              </w:rPr>
              <w:t>1.6</w:t>
            </w: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sz w:val="8"/>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0"/>
              </w:rPr>
            </w:pPr>
          </w:p>
        </w:tc>
        <w:tc>
          <w:tcPr>
            <w:tcW w:w="1275" w:type="dxa"/>
            <w:tcBorders>
              <w:left w:val="single" w:sz="4" w:space="0" w:shadow="0" w:frame="0"/>
            </w:tcBorders>
            <w:vAlign w:val="bottom"/>
          </w:tcPr>
          <w:p>
            <w:pPr>
              <w:spacing w:lineRule="auto" w:line="233"/>
              <w:ind w:right="227"/>
              <w:jc w:val="right"/>
              <w:rPr>
                <w:rFonts w:ascii="Arial" w:hAnsi="Arial"/>
                <w:sz w:val="8"/>
              </w:rPr>
            </w:pPr>
          </w:p>
        </w:tc>
        <w:tc>
          <w:tcPr>
            <w:tcW w:w="1276" w:type="dxa"/>
            <w:vAlign w:val="bottom"/>
          </w:tcPr>
          <w:p>
            <w:pPr>
              <w:spacing w:lineRule="auto" w:line="233"/>
              <w:ind w:right="227"/>
              <w:jc w:val="right"/>
              <w:rPr>
                <w:rFonts w:ascii="Arial" w:hAnsi="Arial"/>
                <w:sz w:val="8"/>
              </w:rPr>
            </w:pPr>
          </w:p>
        </w:tc>
        <w:tc>
          <w:tcPr>
            <w:tcW w:w="1276" w:type="dxa"/>
            <w:vAlign w:val="bottom"/>
          </w:tcPr>
          <w:p>
            <w:pPr>
              <w:spacing w:lineRule="auto" w:line="233"/>
              <w:ind w:right="227"/>
              <w:jc w:val="right"/>
              <w:rPr>
                <w:rFonts w:ascii="Arial" w:hAnsi="Arial"/>
                <w:sz w:val="8"/>
              </w:rPr>
            </w:pPr>
          </w:p>
        </w:tc>
        <w:tc>
          <w:tcPr>
            <w:tcW w:w="1276" w:type="dxa"/>
            <w:tcBorders>
              <w:left w:val="none" w:sz="0" w:space="0" w:shadow="0" w:frame="0"/>
              <w:right w:val="none" w:sz="0" w:space="0" w:shadow="0" w:frame="0"/>
            </w:tcBorders>
            <w:vAlign w:val="bottom"/>
          </w:tcPr>
          <w:p>
            <w:pPr>
              <w:spacing w:lineRule="auto" w:line="233"/>
              <w:ind w:right="227"/>
              <w:jc w:val="right"/>
              <w:rPr>
                <w:rFonts w:ascii="Arial" w:hAnsi="Arial"/>
                <w:sz w:val="8"/>
              </w:rPr>
            </w:pPr>
          </w:p>
        </w:tc>
      </w:tr>
      <w:tr>
        <w:trPr>
          <w:wAfter w:w="0" w:type="dxa"/>
        </w:trPr>
        <w:tc>
          <w:tcPr>
            <w:tcW w:w="397" w:type="dxa"/>
            <w:tcBorders>
              <w:top w:val="none" w:sz="0" w:space="0" w:shadow="0" w:frame="0"/>
              <w:left w:val="none" w:sz="0" w:space="0" w:shadow="0" w:frame="0"/>
              <w:bottom w:val="none" w:sz="0" w:space="0" w:shadow="0" w:frame="0"/>
              <w:right w:val="none" w:sz="0" w:space="0" w:shadow="0" w:frame="0"/>
            </w:tcBorders>
          </w:tcPr>
          <w:p>
            <w:pPr>
              <w:spacing w:lineRule="auto" w:line="233"/>
              <w:jc w:val="center"/>
              <w:rPr>
                <w:rFonts w:ascii="Arial" w:hAnsi="Arial"/>
                <w:b w:val="1"/>
                <w:sz w:val="16"/>
              </w:rPr>
            </w:pPr>
          </w:p>
        </w:tc>
        <w:tc>
          <w:tcPr>
            <w:tcW w:w="436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GROSS DOMESTIC PRODUCT (GDP)</w:t>
            </w:r>
          </w:p>
        </w:tc>
        <w:tc>
          <w:tcPr>
            <w:tcW w:w="1275" w:type="dxa"/>
            <w:tcBorders>
              <w:left w:val="single" w:sz="4" w:space="0" w:shadow="0" w:frame="0"/>
              <w:bottom w:val="none" w:sz="0" w:space="0" w:shadow="0" w:frame="0"/>
            </w:tcBorders>
            <w:vAlign w:val="bottom"/>
          </w:tcPr>
          <w:p>
            <w:pPr>
              <w:spacing w:lineRule="auto" w:line="233"/>
              <w:ind w:right="227"/>
              <w:jc w:val="right"/>
              <w:rPr>
                <w:rFonts w:ascii="Arial" w:hAnsi="Arial"/>
                <w:b w:val="1"/>
                <w:sz w:val="16"/>
              </w:rPr>
            </w:pPr>
            <w:r>
              <w:rPr>
                <w:rFonts w:ascii="Arial" w:hAnsi="Arial"/>
                <w:b w:val="1"/>
                <w:sz w:val="16"/>
              </w:rPr>
              <w:t>3</w:t>
            </w:r>
            <w:r>
              <w:rPr>
                <w:rFonts w:ascii="Arial" w:hAnsi="Arial"/>
                <w:b w:val="1"/>
                <w:sz w:val="16"/>
              </w:rPr>
              <w:t>.</w:t>
            </w:r>
            <w:r>
              <w:rPr>
                <w:rFonts w:ascii="Arial" w:hAnsi="Arial"/>
                <w:b w:val="1"/>
                <w:sz w:val="16"/>
              </w:rPr>
              <w:t>8</w:t>
            </w:r>
          </w:p>
        </w:tc>
        <w:tc>
          <w:tcPr>
            <w:tcW w:w="1276" w:type="dxa"/>
            <w:tcBorders>
              <w:bottom w:val="none" w:sz="0" w:space="0" w:shadow="0" w:frame="0"/>
            </w:tcBorders>
            <w:vAlign w:val="bottom"/>
          </w:tcPr>
          <w:p>
            <w:pPr>
              <w:spacing w:lineRule="auto" w:line="233"/>
              <w:ind w:right="227"/>
              <w:jc w:val="right"/>
              <w:rPr>
                <w:rFonts w:ascii="Arial" w:hAnsi="Arial"/>
                <w:b w:val="1"/>
                <w:sz w:val="16"/>
              </w:rPr>
            </w:pPr>
            <w:r>
              <w:rPr>
                <w:rFonts w:ascii="Arial" w:hAnsi="Arial"/>
                <w:b w:val="1"/>
                <w:sz w:val="16"/>
              </w:rPr>
              <w:t>-3</w:t>
            </w:r>
            <w:r>
              <w:rPr>
                <w:rFonts w:ascii="Arial" w:hAnsi="Arial"/>
                <w:b w:val="1"/>
                <w:sz w:val="16"/>
              </w:rPr>
              <w:t>.</w:t>
            </w:r>
            <w:r>
              <w:rPr>
                <w:rFonts w:ascii="Arial" w:hAnsi="Arial"/>
                <w:b w:val="1"/>
                <w:sz w:val="16"/>
              </w:rPr>
              <w:t>5</w:t>
            </w:r>
          </w:p>
        </w:tc>
        <w:tc>
          <w:tcPr>
            <w:tcW w:w="1276" w:type="dxa"/>
            <w:tcBorders>
              <w:bottom w:val="none" w:sz="0" w:space="0" w:shadow="0" w:frame="0"/>
            </w:tcBorders>
            <w:vAlign w:val="bottom"/>
          </w:tcPr>
          <w:p>
            <w:pPr>
              <w:spacing w:lineRule="auto" w:line="233"/>
              <w:ind w:right="227"/>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0</w:t>
            </w:r>
          </w:p>
        </w:tc>
        <w:tc>
          <w:tcPr>
            <w:tcW w:w="1276" w:type="dxa"/>
            <w:tcBorders>
              <w:left w:val="none" w:sz="0" w:space="0" w:shadow="0" w:frame="0"/>
              <w:bottom w:val="none" w:sz="0" w:space="0" w:shadow="0" w:frame="0"/>
              <w:right w:val="none" w:sz="0" w:space="0" w:shadow="0" w:frame="0"/>
            </w:tcBorders>
            <w:vAlign w:val="bottom"/>
          </w:tcPr>
          <w:p>
            <w:pPr>
              <w:spacing w:lineRule="auto" w:line="233"/>
              <w:ind w:right="227"/>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6</w:t>
            </w:r>
          </w:p>
        </w:tc>
      </w:tr>
    </w:tbl>
    <w:p>
      <w:pPr>
        <w:pStyle w:val="P13"/>
        <w:spacing w:lineRule="auto" w:line="288"/>
        <w:ind w:firstLine="0" w:left="0"/>
        <w:jc w:val="left"/>
        <w:rPr>
          <w:b w:val="1"/>
          <w:sz w:val="20"/>
        </w:rPr>
      </w:pPr>
      <w:r>
        <w:rPr>
          <w:b w:val="1"/>
          <w:sz w:val="20"/>
        </w:rPr>
        <w:t>2</w:t>
      </w:r>
      <w:r>
        <w:rPr>
          <w:b w:val="1"/>
          <w:sz w:val="20"/>
        </w:rPr>
        <w:t xml:space="preserve">. </w:t>
      </w:r>
      <w:r>
        <w:rPr>
          <w:b w:val="1"/>
          <w:sz w:val="20"/>
        </w:rPr>
        <w:t>Use of</w:t>
      </w:r>
      <w:r>
        <w:rPr>
          <w:b w:val="1"/>
          <w:sz w:val="20"/>
        </w:rPr>
        <w:t xml:space="preserve"> </w:t>
      </w:r>
      <w:r>
        <w:rPr>
          <w:b w:val="1"/>
          <w:sz w:val="20"/>
        </w:rPr>
        <w:t>Gross domestic product</w:t>
      </w:r>
      <w:r>
        <w:rPr>
          <w:b w:val="1"/>
          <w:sz w:val="20"/>
        </w:rPr>
        <w:t>, 2008–2011</w:t>
      </w:r>
    </w:p>
    <w:p>
      <w:pPr>
        <w:spacing w:lineRule="auto" w:line="288" w:before="120" w:after="40"/>
        <w:rPr>
          <w:rFonts w:ascii="Arial" w:hAnsi="Arial"/>
          <w:sz w:val="18"/>
        </w:rPr>
      </w:pPr>
      <w:r>
        <w:rPr>
          <w:rFonts w:ascii="Arial" w:hAnsi="Arial"/>
          <w:color w:val="000000"/>
          <w:sz w:val="19"/>
        </w:rPr>
        <w:t xml:space="preserve">Republic of Serbia   </w:t>
      </w:r>
      <w:r>
        <w:rPr>
          <w:rFonts w:ascii="Arial" w:hAnsi="Arial"/>
          <w:color w:val="000000"/>
          <w:sz w:val="18"/>
        </w:rPr>
        <w:t xml:space="preserve">                                                                                                                                      </w:t>
      </w:r>
      <w:r>
        <w:rPr>
          <w:rFonts w:ascii="Arial" w:hAnsi="Arial"/>
          <w:color w:val="000000"/>
          <w:sz w:val="16"/>
        </w:rPr>
        <w:t>real</w:t>
      </w:r>
      <w:r>
        <w:rPr>
          <w:rFonts w:ascii="Arial" w:hAnsi="Arial"/>
          <w:color w:val="000000"/>
          <w:sz w:val="18"/>
        </w:rPr>
        <w:t xml:space="preserve"> </w:t>
      </w:r>
      <w:r>
        <w:rPr>
          <w:rFonts w:ascii="Arial" w:hAnsi="Arial"/>
          <w:color w:val="000000"/>
          <w:sz w:val="16"/>
        </w:rPr>
        <w:t>growth rates, %</w:t>
      </w:r>
      <w:r>
        <w:rPr>
          <w:rFonts w:ascii="Arial" w:hAnsi="Arial"/>
          <w:sz w:val="18"/>
        </w:rPr>
        <w:t xml:space="preserve">                                                                                                                                                             </w:t>
      </w:r>
    </w:p>
    <w:tbl>
      <w:tblPr>
        <w:tblStyle w:val="T3"/>
        <w:tblW w:w="0" w:type="auto"/>
        <w:jc w:val="center"/>
        <w:tblLayout w:type="autofit"/>
        <w:tblCellMar>
          <w:left w:w="28" w:type="dxa"/>
          <w:right w:w="28" w:type="dxa"/>
        </w:tblCellMar>
      </w:tblPr>
      <w:tblGrid/>
      <w:tr>
        <w:trPr>
          <w:wAfter w:w="0" w:type="dxa"/>
        </w:trPr>
        <w:tc>
          <w:tcPr>
            <w:tcW w:w="4860" w:type="dxa"/>
            <w:tcBorders>
              <w:top w:val="single" w:sz="4" w:space="0" w:shadow="0" w:frame="0"/>
              <w:left w:val="none" w:sz="0" w:space="0" w:shadow="0" w:frame="0"/>
              <w:bottom w:val="single" w:sz="4" w:space="0" w:shadow="0" w:frame="0"/>
              <w:right w:val="single" w:sz="4" w:space="0" w:shadow="0" w:frame="0"/>
            </w:tcBorders>
          </w:tcPr>
          <w:p>
            <w:pPr>
              <w:pStyle w:val="P13"/>
              <w:spacing w:lineRule="auto" w:line="288" w:before="120" w:after="120"/>
              <w:ind w:firstLine="0" w:left="0"/>
              <w:jc w:val="left"/>
              <w:rPr>
                <w:b w:val="1"/>
                <w:sz w:val="16"/>
              </w:rPr>
            </w:pPr>
          </w:p>
        </w:tc>
        <w:tc>
          <w:tcPr>
            <w:tcW w:w="1260" w:type="dxa"/>
            <w:tcBorders>
              <w:top w:val="single" w:sz="4" w:space="0" w:shadow="0" w:frame="0"/>
              <w:left w:val="single" w:sz="4" w:space="0" w:shadow="0" w:frame="0"/>
              <w:bottom w:val="single" w:sz="4" w:space="0" w:shadow="0" w:frame="0"/>
              <w:right w:val="single" w:sz="4" w:space="0" w:shadow="0" w:frame="0"/>
            </w:tcBorders>
          </w:tcPr>
          <w:p>
            <w:pPr>
              <w:pStyle w:val="P13"/>
              <w:spacing w:lineRule="auto" w:line="288" w:before="120" w:after="120"/>
              <w:ind w:firstLine="0" w:left="0"/>
              <w:jc w:val="center"/>
              <w:rPr>
                <w:sz w:val="16"/>
              </w:rPr>
            </w:pPr>
            <w:r>
              <w:rPr>
                <w:sz w:val="16"/>
              </w:rPr>
              <w:t>2008</w:t>
            </w:r>
          </w:p>
        </w:tc>
        <w:tc>
          <w:tcPr>
            <w:tcW w:w="1260" w:type="dxa"/>
            <w:tcBorders>
              <w:top w:val="single" w:sz="4" w:space="0" w:shadow="0" w:frame="0"/>
              <w:left w:val="single" w:sz="4" w:space="0" w:shadow="0" w:frame="0"/>
              <w:bottom w:val="single" w:sz="4" w:space="0" w:shadow="0" w:frame="0"/>
              <w:right w:val="single" w:sz="4" w:space="0" w:shadow="0" w:frame="0"/>
            </w:tcBorders>
          </w:tcPr>
          <w:p>
            <w:pPr>
              <w:pStyle w:val="P13"/>
              <w:spacing w:lineRule="auto" w:line="288" w:before="120" w:after="120"/>
              <w:ind w:firstLine="0" w:left="0"/>
              <w:jc w:val="center"/>
              <w:rPr>
                <w:sz w:val="16"/>
              </w:rPr>
            </w:pPr>
            <w:r>
              <w:rPr>
                <w:sz w:val="16"/>
              </w:rPr>
              <w:t>2009</w:t>
            </w:r>
          </w:p>
        </w:tc>
        <w:tc>
          <w:tcPr>
            <w:tcW w:w="1260" w:type="dxa"/>
            <w:tcBorders>
              <w:top w:val="single" w:sz="4" w:space="0" w:shadow="0" w:frame="0"/>
              <w:left w:val="single" w:sz="4" w:space="0" w:shadow="0" w:frame="0"/>
              <w:bottom w:val="single" w:sz="4" w:space="0" w:shadow="0" w:frame="0"/>
              <w:right w:val="single" w:sz="4" w:space="0" w:shadow="0" w:frame="0"/>
            </w:tcBorders>
          </w:tcPr>
          <w:p>
            <w:pPr>
              <w:pStyle w:val="P13"/>
              <w:spacing w:lineRule="auto" w:line="288" w:before="120" w:after="120"/>
              <w:ind w:firstLine="0" w:left="0"/>
              <w:jc w:val="center"/>
              <w:rPr>
                <w:sz w:val="16"/>
              </w:rPr>
            </w:pPr>
            <w:r>
              <w:rPr>
                <w:sz w:val="16"/>
              </w:rPr>
              <w:t>2010</w:t>
            </w:r>
          </w:p>
        </w:tc>
        <w:tc>
          <w:tcPr>
            <w:tcW w:w="1260" w:type="dxa"/>
            <w:tcBorders>
              <w:top w:val="single" w:sz="4" w:space="0" w:shadow="0" w:frame="0"/>
              <w:left w:val="single" w:sz="4" w:space="0" w:shadow="0" w:frame="0"/>
              <w:bottom w:val="single" w:sz="4" w:space="0" w:shadow="0" w:frame="0"/>
              <w:right w:val="none" w:sz="0" w:space="0" w:shadow="0" w:frame="0"/>
            </w:tcBorders>
          </w:tcPr>
          <w:p>
            <w:pPr>
              <w:pStyle w:val="P13"/>
              <w:spacing w:lineRule="auto" w:line="288" w:before="120" w:after="120"/>
              <w:ind w:firstLine="0" w:left="0"/>
              <w:jc w:val="center"/>
              <w:rPr>
                <w:sz w:val="16"/>
              </w:rPr>
            </w:pPr>
            <w:r>
              <w:rPr>
                <w:sz w:val="16"/>
              </w:rPr>
              <w:t>2011</w:t>
            </w:r>
          </w:p>
        </w:tc>
      </w:tr>
      <w:tr>
        <w:trPr>
          <w:wAfter w:w="0" w:type="dxa"/>
        </w:trPr>
        <w:tc>
          <w:tcPr>
            <w:tcW w:w="4860" w:type="dxa"/>
            <w:tcBorders>
              <w:top w:val="single" w:sz="4" w:space="0" w:shadow="0" w:frame="0"/>
              <w:left w:val="none" w:sz="0" w:space="0" w:shadow="0" w:frame="0"/>
              <w:bottom w:val="none" w:sz="0" w:space="0" w:shadow="0" w:frame="0"/>
              <w:right w:val="single" w:sz="4" w:space="0" w:shadow="0" w:frame="0"/>
            </w:tcBorders>
          </w:tcPr>
          <w:p>
            <w:pPr>
              <w:pStyle w:val="P13"/>
              <w:spacing w:lineRule="auto" w:line="288"/>
              <w:ind w:firstLine="0" w:left="0"/>
              <w:jc w:val="left"/>
              <w:rPr>
                <w:sz w:val="16"/>
              </w:rPr>
            </w:pPr>
          </w:p>
        </w:tc>
        <w:tc>
          <w:tcPr>
            <w:tcW w:w="126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88"/>
              <w:ind w:right="57"/>
              <w:jc w:val="right"/>
              <w:rPr>
                <w:rFonts w:ascii="Arial" w:hAnsi="Arial"/>
                <w:sz w:val="16"/>
              </w:rPr>
            </w:pP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sz w:val="16"/>
              </w:rPr>
            </w:pP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sz w:val="16"/>
              </w:rPr>
            </w:pP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sz w:val="16"/>
              </w:rPr>
            </w:pP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lineRule="auto" w:line="288"/>
              <w:rPr>
                <w:rFonts w:ascii="Arial" w:hAnsi="Arial"/>
                <w:b w:val="1"/>
                <w:sz w:val="16"/>
              </w:rPr>
            </w:pPr>
            <w:r>
              <w:rPr>
                <w:rFonts w:ascii="Arial" w:hAnsi="Arial"/>
                <w:b w:val="1"/>
                <w:sz w:val="16"/>
              </w:rPr>
              <w:t>GROSS DOMESTIC PRODUCT (GDP)</w:t>
            </w:r>
            <w:r>
              <w:rPr>
                <w:rFonts w:ascii="Arial" w:hAnsi="Arial"/>
                <w:b w:val="1"/>
                <w:sz w:val="16"/>
              </w:rPr>
              <w:t xml:space="preserve"> </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b w:val="1"/>
                <w:sz w:val="16"/>
              </w:rPr>
            </w:pPr>
            <w:r>
              <w:rPr>
                <w:rFonts w:ascii="Arial" w:hAnsi="Arial"/>
                <w:b w:val="1"/>
                <w:sz w:val="16"/>
              </w:rPr>
              <w:t>3</w:t>
            </w:r>
            <w:r>
              <w:rPr>
                <w:rFonts w:ascii="Arial" w:hAnsi="Arial"/>
                <w:b w:val="1"/>
                <w:sz w:val="16"/>
              </w:rPr>
              <w:t>.</w:t>
            </w:r>
            <w:r>
              <w:rPr>
                <w:rFonts w:ascii="Arial" w:hAnsi="Arial"/>
                <w:b w:val="1"/>
                <w:sz w:val="16"/>
              </w:rPr>
              <w:t>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b w:val="1"/>
                <w:sz w:val="16"/>
              </w:rPr>
            </w:pPr>
            <w:r>
              <w:rPr>
                <w:rFonts w:ascii="Arial" w:hAnsi="Arial"/>
                <w:b w:val="1"/>
                <w:sz w:val="16"/>
              </w:rPr>
              <w:t>-3</w:t>
            </w:r>
            <w:r>
              <w:rPr>
                <w:rFonts w:ascii="Arial" w:hAnsi="Arial"/>
                <w:b w:val="1"/>
                <w:sz w:val="16"/>
              </w:rPr>
              <w:t>.</w:t>
            </w:r>
            <w:r>
              <w:rPr>
                <w:rFonts w:ascii="Arial" w:hAnsi="Arial"/>
                <w:b w:val="1"/>
                <w:sz w:val="16"/>
              </w:rPr>
              <w:t>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b w:val="1"/>
                <w:sz w:val="16"/>
              </w:rPr>
            </w:pPr>
            <w:r>
              <w:rPr>
                <w:rFonts w:ascii="Arial" w:hAnsi="Arial"/>
                <w:b w:val="1"/>
                <w:sz w:val="16"/>
              </w:rPr>
              <w:t>1</w:t>
            </w:r>
            <w:r>
              <w:rPr>
                <w:rFonts w:ascii="Arial" w:hAnsi="Arial"/>
                <w:b w:val="1"/>
                <w:sz w:val="16"/>
              </w:rPr>
              <w:t>.</w:t>
            </w:r>
            <w:r>
              <w:rPr>
                <w:rFonts w:ascii="Arial" w:hAnsi="Arial"/>
                <w:b w:val="1"/>
                <w:sz w:val="16"/>
              </w:rPr>
              <w:t>6</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lineRule="auto" w:line="288"/>
              <w:rPr>
                <w:rFonts w:ascii="Arial" w:hAnsi="Arial"/>
                <w:sz w:val="16"/>
              </w:rPr>
            </w:pP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rPr>
                <w:rFonts w:ascii="Arial" w:hAnsi="Arial"/>
                <w:sz w:val="16"/>
              </w:rPr>
            </w:pPr>
            <w:r>
              <w:rPr>
                <w:rFonts w:ascii="Arial" w:hAnsi="Arial"/>
                <w:sz w:val="16"/>
              </w:rPr>
              <w:t>Final consumption expenditure</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6.1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-2.7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-0.7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-0.7</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ind w:left="113"/>
              <w:rPr>
                <w:rFonts w:ascii="Arial" w:hAnsi="Arial"/>
                <w:sz w:val="16"/>
              </w:rPr>
            </w:pPr>
            <w:r>
              <w:rPr>
                <w:rFonts w:ascii="Arial" w:hAnsi="Arial"/>
                <w:sz w:val="16"/>
              </w:rPr>
              <w:t>Individual consumption expenditure</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6.6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-0.6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-0.8</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ind w:left="284"/>
              <w:rPr>
                <w:rFonts w:ascii="Arial" w:hAnsi="Arial"/>
                <w:sz w:val="16"/>
              </w:rPr>
            </w:pPr>
            <w:r>
              <w:rPr>
                <w:rFonts w:ascii="Arial" w:hAnsi="Arial"/>
                <w:sz w:val="16"/>
              </w:rPr>
              <w:t>Household sector</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6.8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-2.7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-1.2</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ind w:left="284"/>
              <w:rPr>
                <w:rFonts w:ascii="Arial" w:hAnsi="Arial"/>
                <w:sz w:val="16"/>
                <w:vertAlign w:val="superscript"/>
              </w:rPr>
            </w:pPr>
            <w:r>
              <w:rPr>
                <w:rFonts w:ascii="Arial" w:hAnsi="Arial"/>
                <w:sz w:val="16"/>
              </w:rPr>
              <w:t>Sector of Non-profit institutions serving households (NPISHs)</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-12.2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2.6</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ind w:left="284"/>
              <w:rPr>
                <w:rFonts w:ascii="Arial" w:hAnsi="Arial"/>
                <w:sz w:val="16"/>
              </w:rPr>
            </w:pPr>
            <w:r>
              <w:rPr>
                <w:rFonts w:ascii="Arial" w:hAnsi="Arial"/>
                <w:sz w:val="16"/>
              </w:rPr>
              <w:t>Government sector</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5.9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0.2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1.2</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ind w:left="113"/>
              <w:rPr>
                <w:rFonts w:ascii="Arial" w:hAnsi="Arial"/>
                <w:sz w:val="16"/>
              </w:rPr>
            </w:pPr>
            <w:r>
              <w:rPr>
                <w:rFonts w:ascii="Arial" w:hAnsi="Arial"/>
                <w:sz w:val="16"/>
              </w:rPr>
              <w:t>Collective consumption expenditure</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-6.0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0.6</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rPr>
                <w:rFonts w:ascii="Arial" w:hAnsi="Arial"/>
                <w:sz w:val="16"/>
              </w:rPr>
            </w:pPr>
            <w:r>
              <w:rPr>
                <w:rFonts w:ascii="Arial" w:hAnsi="Arial"/>
                <w:sz w:val="16"/>
              </w:rPr>
              <w:t>Gross fixed capital formation</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8.5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-22.1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-5.5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8.4</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rPr>
                <w:rFonts w:ascii="Arial" w:hAnsi="Arial"/>
                <w:sz w:val="16"/>
                <w:vertAlign w:val="superscript"/>
              </w:rPr>
            </w:pPr>
            <w:r>
              <w:rPr>
                <w:rFonts w:ascii="Arial" w:hAnsi="Arial"/>
                <w:sz w:val="16"/>
              </w:rPr>
              <w:t xml:space="preserve">Changes in inventories </w:t>
            </w:r>
            <w:r>
              <w:rPr>
                <w:rFonts w:ascii="Arial" w:hAnsi="Arial"/>
                <w:sz w:val="16"/>
                <w:vertAlign w:val="superscript"/>
              </w:rPr>
              <w:t>1)</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rPr>
                <w:rFonts w:ascii="Arial" w:hAnsi="Arial"/>
                <w:sz w:val="16"/>
              </w:rPr>
            </w:pPr>
            <w:r>
              <w:rPr>
                <w:rFonts w:ascii="Arial" w:hAnsi="Arial"/>
                <w:sz w:val="16"/>
              </w:rPr>
              <w:t>Exports of goods and services</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9.8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-8.0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15.3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3.4</w:t>
            </w:r>
          </w:p>
        </w:tc>
      </w:tr>
      <w:tr>
        <w:trPr>
          <w:wAfter w:w="0" w:type="dxa"/>
        </w:trPr>
        <w:tc>
          <w:tcPr>
            <w:tcW w:w="4860" w:type="dxa"/>
            <w:tcBorders>
              <w:top w:val="none" w:sz="0" w:space="0" w:shadow="0" w:frame="0"/>
              <w:left w:val="none" w:sz="0" w:space="0" w:shadow="0" w:frame="0"/>
              <w:bottom w:val="none" w:sz="0" w:space="0" w:shadow="0" w:frame="0"/>
              <w:right w:val="single" w:sz="4" w:space="0" w:shadow="0" w:frame="0"/>
            </w:tcBorders>
            <w:vAlign w:val="bottom"/>
          </w:tcPr>
          <w:p>
            <w:pPr>
              <w:spacing w:before="60" w:after="60"/>
              <w:rPr>
                <w:rFonts w:ascii="Arial" w:hAnsi="Arial"/>
                <w:sz w:val="16"/>
              </w:rPr>
            </w:pPr>
            <w:r>
              <w:rPr>
                <w:rFonts w:ascii="Arial" w:hAnsi="Arial"/>
                <w:sz w:val="16"/>
              </w:rPr>
              <w:t>Imports of goods and services ( - )</w:t>
            </w:r>
          </w:p>
        </w:tc>
        <w:tc>
          <w:tcPr>
            <w:tcW w:w="12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9.6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-19.1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3.1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284"/>
              <w:jc w:val="right"/>
              <w:rPr>
                <w:rFonts w:ascii="Arial" w:hAnsi="Arial"/>
                <w:sz w:val="16"/>
              </w:rPr>
            </w:pPr>
            <w:r>
              <w:rPr>
                <w:rFonts w:ascii="Arial" w:hAnsi="Arial"/>
                <w:sz w:val="16"/>
              </w:rPr>
              <w:t>7.0</w:t>
            </w:r>
          </w:p>
        </w:tc>
      </w:tr>
    </w:tbl>
    <w:p>
      <w:pPr>
        <w:spacing w:lineRule="auto" w:line="288"/>
        <w:jc w:val="both"/>
        <w:rPr>
          <w:rFonts w:ascii="Arial" w:hAnsi="Arial"/>
          <w:sz w:val="14"/>
        </w:rPr>
      </w:pPr>
    </w:p>
    <w:p>
      <w:pPr>
        <w:spacing w:lineRule="auto" w:line="288"/>
        <w:jc w:val="both"/>
        <w:rPr>
          <w:rFonts w:ascii="Arial" w:hAnsi="Arial"/>
          <w:sz w:val="14"/>
        </w:rPr>
      </w:pPr>
    </w:p>
    <w:p>
      <w:pPr>
        <w:spacing w:lineRule="auto" w:line="288"/>
        <w:jc w:val="both"/>
        <w:rPr>
          <w:rFonts w:ascii="Arial" w:hAnsi="Arial"/>
          <w:sz w:val="14"/>
        </w:rPr>
      </w:pPr>
      <w:r>
        <w:rPr>
          <w:rFonts w:ascii="Arial" w:hAnsi="Arial"/>
          <w:sz w:val="14"/>
          <w:vertAlign w:val="superscript"/>
        </w:rPr>
        <w:t>1)</w:t>
      </w:r>
      <w:r>
        <w:rPr>
          <w:rFonts w:ascii="Arial" w:hAnsi="Arial"/>
          <w:sz w:val="14"/>
        </w:rPr>
        <w:t xml:space="preserve"> For the item – Changes in inventories calculated is contribution to GDP real growth, and not real growth rates.</w:t>
      </w:r>
    </w:p>
    <w:p>
      <w:pPr>
        <w:spacing w:lineRule="auto" w:line="288"/>
        <w:jc w:val="both"/>
        <w:rPr>
          <w:rFonts w:ascii="Arial" w:hAnsi="Arial"/>
          <w:sz w:val="14"/>
        </w:rPr>
      </w:pPr>
    </w:p>
    <w:p>
      <w:pPr>
        <w:spacing w:lineRule="auto" w:line="288"/>
        <w:jc w:val="both"/>
        <w:rPr>
          <w:rFonts w:ascii="Arial" w:hAnsi="Arial"/>
          <w:sz w:val="14"/>
        </w:rPr>
      </w:pPr>
    </w:p>
    <w:p>
      <w:pPr>
        <w:pStyle w:val="P13"/>
        <w:spacing w:lineRule="auto" w:line="211"/>
        <w:ind w:firstLine="0" w:left="0"/>
        <w:jc w:val="left"/>
        <w:rPr>
          <w:b w:val="1"/>
          <w:sz w:val="20"/>
        </w:rPr>
      </w:pPr>
    </w:p>
    <w:p>
      <w:pPr>
        <w:pStyle w:val="P13"/>
        <w:spacing w:lineRule="auto" w:line="211"/>
        <w:ind w:firstLine="0" w:left="0"/>
        <w:jc w:val="left"/>
        <w:rPr>
          <w:b w:val="1"/>
          <w:sz w:val="20"/>
          <w:vertAlign w:val="superscript"/>
        </w:rPr>
      </w:pPr>
    </w:p>
    <w:p>
      <w:pPr>
        <w:pStyle w:val="P13"/>
        <w:spacing w:lineRule="auto" w:line="211"/>
        <w:ind w:firstLine="0" w:left="0"/>
        <w:jc w:val="left"/>
        <w:rPr>
          <w:b w:val="1"/>
          <w:sz w:val="20"/>
          <w:vertAlign w:val="superscript"/>
        </w:rPr>
      </w:pPr>
    </w:p>
    <w:p>
      <w:pPr>
        <w:pStyle w:val="P13"/>
        <w:spacing w:lineRule="auto" w:line="211"/>
        <w:ind w:firstLine="0" w:left="0"/>
        <w:jc w:val="left"/>
        <w:rPr>
          <w:b w:val="1"/>
          <w:sz w:val="20"/>
          <w:vertAlign w:val="superscript"/>
        </w:rPr>
      </w:pPr>
    </w:p>
    <w:p>
      <w:pPr>
        <w:pStyle w:val="P13"/>
        <w:spacing w:lineRule="auto" w:line="211"/>
        <w:ind w:firstLine="0" w:left="0"/>
        <w:jc w:val="left"/>
        <w:rPr>
          <w:b w:val="1"/>
          <w:sz w:val="20"/>
          <w:vertAlign w:val="superscript"/>
        </w:rPr>
      </w:pPr>
    </w:p>
    <w:p>
      <w:pPr>
        <w:pStyle w:val="P13"/>
        <w:spacing w:lineRule="auto" w:line="211"/>
        <w:ind w:firstLine="0" w:left="0"/>
        <w:jc w:val="left"/>
        <w:rPr>
          <w:b w:val="1"/>
          <w:sz w:val="20"/>
          <w:vertAlign w:val="superscript"/>
        </w:rPr>
      </w:pPr>
    </w:p>
    <w:p>
      <w:pPr>
        <w:pStyle w:val="P13"/>
        <w:spacing w:lineRule="auto" w:line="211"/>
        <w:ind w:firstLine="0" w:left="0"/>
        <w:jc w:val="left"/>
        <w:rPr>
          <w:b w:val="1"/>
          <w:sz w:val="20"/>
          <w:vertAlign w:val="superscript"/>
        </w:rPr>
      </w:pPr>
    </w:p>
    <w:p>
      <w:pPr>
        <w:spacing w:before="120" w:after="120"/>
        <w:ind w:firstLine="397"/>
        <w:jc w:val="both"/>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before="120"/>
        <w:ind w:firstLine="397"/>
        <w:jc w:val="both"/>
        <w:rPr>
          <w:rFonts w:ascii="Arial" w:hAnsi="Arial"/>
          <w:color w:val="000000"/>
          <w:sz w:val="20"/>
        </w:rPr>
      </w:pPr>
      <w:r>
        <w:rPr>
          <w:rFonts w:ascii="Arial" w:hAnsi="Arial"/>
          <w:color w:val="000000"/>
          <w:sz w:val="20"/>
        </w:rPr>
        <w:t>For methodological explanations related to the GDP annual calculations see the SORS website</w:t>
      </w:r>
      <w:r>
        <w:rPr>
          <w:rFonts w:ascii="Arial" w:hAnsi="Arial"/>
          <w:sz w:val="20"/>
        </w:rPr>
        <w:t>:</w:t>
      </w:r>
      <w:r>
        <w:rPr>
          <w:rFonts w:ascii="Arial" w:hAnsi="Arial"/>
          <w:color w:val="000000"/>
          <w:sz w:val="20"/>
        </w:rPr>
        <w:t xml:space="preserve"> </w:t>
      </w:r>
      <w:r>
        <w:rPr>
          <w:rFonts w:ascii="Arial" w:hAnsi="Arial"/>
          <w:color w:val="000000"/>
          <w:sz w:val="20"/>
        </w:rPr>
        <w:fldChar w:fldCharType="begin"/>
      </w:r>
      <w:r>
        <w:rPr>
          <w:rFonts w:ascii="Arial" w:hAnsi="Arial"/>
          <w:sz w:val="20"/>
        </w:rPr>
        <w:instrText xml:space="preserve"> HYPERLINK "http://webrzs.stat.gov.rs/WebSite/Public/PageView.aspx?pKey=64" </w:instrText>
      </w:r>
      <w:r>
        <w:rPr>
          <w:rFonts w:ascii="Arial" w:hAnsi="Arial"/>
          <w:sz w:val="20"/>
        </w:rPr>
        <w:fldChar w:fldCharType="separate"/>
      </w:r>
      <w:r>
        <w:rPr>
          <w:rStyle w:val="C2"/>
          <w:rFonts w:ascii="Arial" w:hAnsi="Arial"/>
          <w:sz w:val="20"/>
        </w:rPr>
        <w:t>http://webrzs.stat.gov.rs/WebSite/Public/PageView.aspx?pKey=64</w:t>
      </w:r>
      <w:r>
        <w:rPr>
          <w:rStyle w:val="C2"/>
          <w:rFonts w:ascii="Arial" w:hAnsi="Arial"/>
          <w:sz w:val="20"/>
        </w:rPr>
        <w:fldChar w:fldCharType="end"/>
      </w:r>
      <w:r>
        <w:rPr>
          <w:rFonts w:ascii="Arial" w:hAnsi="Arial"/>
          <w:sz w:val="20"/>
        </w:rPr>
        <w:t>.</w:t>
      </w:r>
    </w:p>
    <w:p>
      <w:pPr>
        <w:pStyle w:val="P13"/>
        <w:spacing w:before="120"/>
        <w:ind w:firstLine="397" w:left="0"/>
      </w:pPr>
      <w:r>
        <w:rPr>
          <w:color w:val="000000"/>
          <w:sz w:val="20"/>
        </w:rPr>
        <w:t>Time series on the creation and use of Gross domestic product at previous year prices, chain linked volume measure</w:t>
      </w:r>
      <w:r>
        <w:rPr>
          <w:sz w:val="20"/>
        </w:rPr>
        <w:t>s</w:t>
      </w:r>
      <w:r>
        <w:rPr>
          <w:color w:val="000000"/>
          <w:sz w:val="20"/>
        </w:rPr>
        <w:t xml:space="preserve"> with referent year 2005, as well as real growth rates, are all available at the SORS website, in </w:t>
      </w:r>
      <w:r>
        <w:rPr>
          <w:i w:val="1"/>
          <w:color w:val="000000"/>
          <w:sz w:val="20"/>
        </w:rPr>
        <w:t>Database</w:t>
      </w:r>
      <w:r>
        <w:rPr>
          <w:color w:val="000000"/>
          <w:sz w:val="20"/>
        </w:rPr>
        <w:t xml:space="preserve"> </w:t>
      </w:r>
      <w:r>
        <w:t>(</w:t>
      </w:r>
      <w:r>
        <w:fldChar w:fldCharType="begin"/>
      </w:r>
      <w:r>
        <w:instrText xml:space="preserve"> HYPERLINK "http://webrzs.stat.gov.rs/WebSite/public/ReportView.aspx" </w:instrText>
      </w:r>
      <w:r>
        <w:fldChar w:fldCharType="separate"/>
      </w:r>
      <w:r>
        <w:rPr>
          <w:rStyle w:val="C2"/>
          <w:sz w:val="20"/>
        </w:rPr>
        <w:t>http://w</w:t>
      </w:r>
      <w:bookmarkStart w:id="0" w:name="_Hlt288476797"/>
      <w:r>
        <w:rPr>
          <w:rStyle w:val="C2"/>
          <w:sz w:val="20"/>
        </w:rPr>
        <w:t>e</w:t>
      </w:r>
      <w:bookmarkEnd w:id="0"/>
      <w:r>
        <w:rPr>
          <w:rStyle w:val="C2"/>
          <w:sz w:val="20"/>
        </w:rPr>
        <w:t>brz</w:t>
      </w:r>
      <w:bookmarkStart w:id="1" w:name="_Hlt351556325"/>
      <w:bookmarkStart w:id="2" w:name="_Hlt351556326"/>
      <w:r>
        <w:rPr>
          <w:rStyle w:val="C2"/>
          <w:sz w:val="20"/>
        </w:rPr>
        <w:t>s</w:t>
      </w:r>
      <w:bookmarkEnd w:id="1"/>
      <w:bookmarkEnd w:id="2"/>
      <w:bookmarkStart w:id="3" w:name="_Hlt288476717"/>
      <w:r>
        <w:rPr>
          <w:rStyle w:val="C2"/>
          <w:sz w:val="20"/>
        </w:rPr>
        <w:t>.</w:t>
      </w:r>
      <w:bookmarkEnd w:id="3"/>
      <w:r>
        <w:rPr>
          <w:rStyle w:val="C2"/>
          <w:sz w:val="20"/>
        </w:rPr>
        <w:t>stat.gov</w:t>
      </w:r>
      <w:bookmarkStart w:id="4" w:name="_Hlt351556390"/>
      <w:bookmarkStart w:id="5" w:name="_Hlt351556391"/>
      <w:r>
        <w:rPr>
          <w:rStyle w:val="C2"/>
          <w:sz w:val="20"/>
        </w:rPr>
        <w:t>.</w:t>
      </w:r>
      <w:bookmarkEnd w:id="4"/>
      <w:bookmarkEnd w:id="5"/>
      <w:r>
        <w:rPr>
          <w:rStyle w:val="C2"/>
          <w:sz w:val="20"/>
        </w:rPr>
        <w:t>rs/WebSite/public/ReportView.aspx</w:t>
      </w:r>
      <w:r>
        <w:rPr>
          <w:rStyle w:val="C2"/>
          <w:sz w:val="20"/>
        </w:rPr>
        <w:fldChar w:fldCharType="end"/>
      </w:r>
      <w:r>
        <w:t>).</w:t>
      </w:r>
    </w:p>
    <w:p>
      <w:pPr>
        <w:spacing w:before="120"/>
        <w:ind w:firstLine="397"/>
        <w:jc w:val="both"/>
        <w:rPr>
          <w:rFonts w:ascii="Arial" w:hAnsi="Arial"/>
          <w:sz w:val="20"/>
        </w:rPr>
      </w:pPr>
      <w:r>
        <w:rPr>
          <w:rFonts w:ascii="Arial" w:hAnsi="Arial"/>
          <w:sz w:val="20"/>
        </w:rPr>
        <w:t>In order to comply with ESA 2010 international standard, the revised data</w:t>
      </w:r>
      <w:r>
        <w:rPr>
          <w:rFonts w:ascii="Arial" w:hAnsi="Arial"/>
          <w:sz w:val="22"/>
        </w:rPr>
        <w:t xml:space="preserve"> </w:t>
      </w:r>
      <w:r>
        <w:rPr>
          <w:rFonts w:ascii="Arial" w:hAnsi="Arial"/>
          <w:sz w:val="20"/>
        </w:rPr>
        <w:t xml:space="preserve">series will be released in the last quarter 2014. </w:t>
      </w: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ind w:left="198" w:right="29"/>
        <w:jc w:val="center"/>
        <w:rPr>
          <w:rFonts w:ascii="Arial" w:hAnsi="Arial"/>
          <w:sz w:val="18"/>
        </w:rPr>
      </w:pPr>
      <w:r>
        <w:rPr>
          <w:rFonts w:ascii="Arial" w:hAnsi="Arial"/>
          <w:sz w:val="18"/>
        </w:rPr>
        <w:t xml:space="preserve">Published and printed by: Statistical Office of the Republic of Serbia, 5, Milana Rakica St, Belgrade </w:t>
      </w:r>
    </w:p>
    <w:p>
      <w:pPr>
        <w:ind w:left="198" w:right="29"/>
        <w:jc w:val="center"/>
        <w:rPr>
          <w:rFonts w:ascii="Arial" w:hAnsi="Arial"/>
          <w:sz w:val="18"/>
        </w:rPr>
      </w:pPr>
      <w:r>
        <w:rPr>
          <w:rFonts w:ascii="Arial" w:hAnsi="Arial"/>
          <w:sz w:val="18"/>
        </w:rPr>
        <w:t xml:space="preserve">Phone: +381 11 2412922 (operator) ● Fax: +381 11 2411260 ● www.stat.gov.rs </w:t>
      </w:r>
    </w:p>
    <w:p>
      <w:pPr>
        <w:ind w:left="198" w:right="29"/>
        <w:jc w:val="center"/>
        <w:rPr>
          <w:rFonts w:ascii="Arial" w:hAnsi="Arial"/>
          <w:sz w:val="10"/>
        </w:rPr>
      </w:pPr>
      <w:r>
        <w:rPr>
          <w:rFonts w:ascii="Arial" w:hAnsi="Arial"/>
          <w:sz w:val="18"/>
        </w:rPr>
        <w:t>Responsible: Dragan Vukmirovic, PhD, Director</w:t>
        <w:br w:type="textWrapping"/>
        <w:t>Circulation: 20 • Issued annually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rPr>
        <w:rFonts w:ascii="Arial" w:hAnsi="Arial"/>
        <w:sz w:val="16"/>
      </w:rPr>
    </w:pPr>
    <w:r>
      <w:rPr>
        <w:rFonts w:ascii="Arial" w:hAnsi="Arial"/>
        <w:sz w:val="16"/>
      </w:rPr>
      <w:t>СРБ ??? НР31 ??0311</w:t>
    </w:r>
  </w:p>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SRB078 NR31 290313</w:t>
    </w:r>
  </w:p>
  <w:p>
    <w:pPr>
      <w:rPr>
        <w:sz w:val="2"/>
      </w:rPr>
    </w:pPr>
  </w:p>
</w:ftr>
</file>

<file path=word/numbering.xml><?xml version="1.0" encoding="utf-8"?>
<w:numbering xmlns:w="http://schemas.openxmlformats.org/wordprocessingml/2006/main">
  <w:abstractNum w:abstractNumId="0">
    <w:nsid w:val="1D143D3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6B666B95"/>
    <w:multiLevelType w:val="hybridMultilevel"/>
    <w:lvl w:ilvl="0" w:tplc="3D2191E4">
      <w:start w:val="0"/>
      <w:numFmt w:val="bullet"/>
      <w:suff w:val="tab"/>
      <w:lvlText w:val="-"/>
      <w:lvlJc w:val="left"/>
      <w:pPr>
        <w:ind w:hanging="360" w:left="720"/>
        <w:tabs>
          <w:tab w:val="left" w:pos="720" w:leader="none"/>
        </w:tabs>
      </w:pPr>
      <w:rPr>
        <w:rFonts w:ascii="Times New Roman" w:hAnsi="Times New Roman"/>
      </w:rPr>
    </w:lvl>
    <w:lvl w:ilvl="1" w:tplc="118045B5">
      <w:start w:val="1"/>
      <w:numFmt w:val="bullet"/>
      <w:suff w:val="tab"/>
      <w:lvlText w:val="o"/>
      <w:lvlJc w:val="left"/>
      <w:pPr>
        <w:ind w:hanging="360" w:left="1440"/>
        <w:tabs>
          <w:tab w:val="left" w:pos="1440" w:leader="none"/>
        </w:tabs>
      </w:pPr>
      <w:rPr>
        <w:rFonts w:ascii="Courier New" w:hAnsi="Courier New"/>
      </w:rPr>
    </w:lvl>
    <w:lvl w:ilvl="2" w:tplc="3179D1DC">
      <w:start w:val="1"/>
      <w:numFmt w:val="bullet"/>
      <w:suff w:val="tab"/>
      <w:lvlText w:val=""/>
      <w:lvlJc w:val="left"/>
      <w:pPr>
        <w:ind w:hanging="360" w:left="2160"/>
        <w:tabs>
          <w:tab w:val="left" w:pos="2160" w:leader="none"/>
        </w:tabs>
      </w:pPr>
      <w:rPr>
        <w:rFonts w:ascii="Wingdings" w:hAnsi="Wingdings"/>
      </w:rPr>
    </w:lvl>
    <w:lvl w:ilvl="3" w:tplc="540D4B47">
      <w:start w:val="1"/>
      <w:numFmt w:val="bullet"/>
      <w:suff w:val="tab"/>
      <w:lvlText w:val=""/>
      <w:lvlJc w:val="left"/>
      <w:pPr>
        <w:ind w:hanging="360" w:left="2880"/>
        <w:tabs>
          <w:tab w:val="left" w:pos="2880" w:leader="none"/>
        </w:tabs>
      </w:pPr>
      <w:rPr>
        <w:rFonts w:ascii="Symbol" w:hAnsi="Symbol"/>
      </w:rPr>
    </w:lvl>
    <w:lvl w:ilvl="4" w:tplc="2CA7E674">
      <w:start w:val="1"/>
      <w:numFmt w:val="bullet"/>
      <w:suff w:val="tab"/>
      <w:lvlText w:val="o"/>
      <w:lvlJc w:val="left"/>
      <w:pPr>
        <w:ind w:hanging="360" w:left="3600"/>
        <w:tabs>
          <w:tab w:val="left" w:pos="3600" w:leader="none"/>
        </w:tabs>
      </w:pPr>
      <w:rPr>
        <w:rFonts w:ascii="Courier New" w:hAnsi="Courier New"/>
      </w:rPr>
    </w:lvl>
    <w:lvl w:ilvl="5" w:tplc="6C8E1276">
      <w:start w:val="1"/>
      <w:numFmt w:val="bullet"/>
      <w:suff w:val="tab"/>
      <w:lvlText w:val=""/>
      <w:lvlJc w:val="left"/>
      <w:pPr>
        <w:ind w:hanging="360" w:left="4320"/>
        <w:tabs>
          <w:tab w:val="left" w:pos="4320" w:leader="none"/>
        </w:tabs>
      </w:pPr>
      <w:rPr>
        <w:rFonts w:ascii="Wingdings" w:hAnsi="Wingdings"/>
      </w:rPr>
    </w:lvl>
    <w:lvl w:ilvl="6" w:tplc="2EC90700">
      <w:start w:val="1"/>
      <w:numFmt w:val="bullet"/>
      <w:suff w:val="tab"/>
      <w:lvlText w:val=""/>
      <w:lvlJc w:val="left"/>
      <w:pPr>
        <w:ind w:hanging="360" w:left="5040"/>
        <w:tabs>
          <w:tab w:val="left" w:pos="5040" w:leader="none"/>
        </w:tabs>
      </w:pPr>
      <w:rPr>
        <w:rFonts w:ascii="Symbol" w:hAnsi="Symbol"/>
      </w:rPr>
    </w:lvl>
    <w:lvl w:ilvl="7" w:tplc="08578D90">
      <w:start w:val="1"/>
      <w:numFmt w:val="bullet"/>
      <w:suff w:val="tab"/>
      <w:lvlText w:val="o"/>
      <w:lvlJc w:val="left"/>
      <w:pPr>
        <w:ind w:hanging="360" w:left="5760"/>
        <w:tabs>
          <w:tab w:val="left" w:pos="5760" w:leader="none"/>
        </w:tabs>
      </w:pPr>
      <w:rPr>
        <w:rFonts w:ascii="Courier New" w:hAnsi="Courier New"/>
      </w:rPr>
    </w:lvl>
    <w:lvl w:ilvl="8" w:tplc="4A1333AD">
      <w:start w:val="1"/>
      <w:numFmt w:val="bullet"/>
      <w:suff w:val="tab"/>
      <w:lvlText w:val=""/>
      <w:lvlJc w:val="left"/>
      <w:pPr>
        <w:ind w:hanging="360" w:left="6480"/>
        <w:tabs>
          <w:tab w:val="left" w:pos="6480" w:leader="none"/>
        </w:tabs>
      </w:pPr>
      <w:rPr>
        <w:rFonts w:ascii="Wingdings" w:hAnsi="Wingding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FollowedHyperlink"/>
    <w:basedOn w:val="C0"/>
    <w:rPr>
      <w:color w:val="800080"/>
      <w:u w:val="single"/>
    </w:rPr>
  </w:style>
  <w:style w:type="character" w:styleId="C6">
    <w:name w:val="hps"/>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2013-03-28T13:24:00Z</dcterms:created>
  <cp:lastModifiedBy>Nikola Kapetanovic</cp:lastModifiedBy>
  <cp:lastPrinted>2013-03-26T10:37:00Z</cp:lastPrinted>
  <dcterms:modified xsi:type="dcterms:W3CDTF">2020-01-10T11:42:30Z</dcterms:modified>
  <cp:revision>4</cp:revision>
  <dc:title>Промет робе у трговини на мало у Републици Србији, јануар 2003</dc:title>
</cp:coreProperties>
</file>