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5815CB61" Type="http://schemas.openxmlformats.org/officeDocument/2006/relationships/officeDocument" Target="/word/document.xml" /><Relationship Id="coreR5815CB6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5000" w:type="pct"/>
        <w:jc w:val="center"/>
        <w:tblInd w:w="1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autofit"/>
        <w:tblCellMar>
          <w:top w:w="0" w:type="dxa"/>
          <w:left w:w="28" w:type="dxa"/>
          <w:bottom w:w="0" w:type="dxa"/>
          <w:right w:w="28" w:type="dxa"/>
        </w:tblCellMar>
      </w:tblPr>
      <w:tblGrid/>
      <w:tr>
        <w:trPr>
          <w:wAfter w:w="0" w:type="dxa"/>
          <w:trHeight w:hRule="atLeast" w:val="631"/>
        </w:trPr>
        <w:tc>
          <w:tcPr>
            <w:tcW w:w="812" w:type="pct"/>
            <w:tcBorders>
              <w:top w:val="single" w:sz="12" w:space="0" w:shadow="0" w:frame="0" w:color="808080"/>
              <w:left w:val="none" w:sz="0" w:space="0" w:shadow="0" w:frame="0"/>
              <w:bottom w:val="none" w:sz="0" w:space="0" w:shadow="0" w:frame="0"/>
            </w:tcBorders>
            <w:vAlign w:val="center"/>
          </w:tcPr>
          <w:p>
            <w:pPr>
              <w:rPr>
                <w:color w:val="808080"/>
              </w:rPr>
            </w:pPr>
            <w:r>
              <w:rPr>
                <w:color w:val="808080"/>
                <w:sz w:val="8"/>
              </w:rPr>
              <w:t xml:space="preserve">                    </w:t>
            </w:r>
            <w:r>
              <w:drawing>
                <wp:inline xmlns:wp="http://schemas.openxmlformats.org/drawingml/2006/wordprocessingDrawing">
                  <wp:extent cx="906780" cy="21780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906780" cy="217805"/>
                          </a:xfrm>
                          <a:prstGeom prst="rect"/>
                          <a:noFill/>
                        </pic:spPr>
                      </pic:pic>
                    </a:graphicData>
                  </a:graphic>
                </wp:inline>
              </w:drawing>
            </w:r>
          </w:p>
        </w:tc>
        <w:tc>
          <w:tcPr>
            <w:tcW w:w="2559" w:type="pct"/>
            <w:tcBorders>
              <w:top w:val="single" w:sz="12" w:space="0" w:shadow="0" w:frame="0" w:color="808080"/>
              <w:left w:val="none" w:sz="0" w:space="0" w:shadow="0" w:frame="0"/>
              <w:bottom w:val="none" w:sz="0" w:space="0" w:shadow="0" w:frame="0"/>
            </w:tcBorders>
            <w:vAlign w:val="center"/>
          </w:tcPr>
          <w:p>
            <w:r>
              <w:t>Statistical Office of the Republic of Serbia</w:t>
            </w:r>
          </w:p>
        </w:tc>
        <w:tc>
          <w:tcPr>
            <w:tcW w:w="0" w:type="auto"/>
            <w:tcBorders>
              <w:top w:val="single" w:sz="12" w:space="0" w:shadow="0" w:frame="0" w:color="808080"/>
              <w:bottom w:val="none" w:sz="0" w:space="0" w:shadow="0" w:frame="0"/>
              <w:right w:val="none" w:sz="0" w:space="0" w:shadow="0" w:frame="0"/>
            </w:tcBorders>
            <w:vAlign w:val="center"/>
          </w:tcPr>
          <w:p>
            <w:pPr>
              <w:jc w:val="right"/>
              <w:rPr>
                <w:b w:val="1"/>
                <w:color w:val="808080"/>
              </w:rPr>
            </w:pPr>
            <w:r>
              <w:t>ISSN 0353-9555</w:t>
            </w:r>
          </w:p>
        </w:tc>
      </w:tr>
      <w:tr>
        <w:trPr>
          <w:wAfter w:w="0" w:type="dxa"/>
          <w:trHeight w:hRule="atLeast" w:val="836"/>
        </w:trPr>
        <w:tc>
          <w:tcPr>
            <w:tcW w:w="0" w:type="auto"/>
            <w:gridSpan w:val="2"/>
            <w:tcBorders>
              <w:top w:val="none" w:sz="0" w:space="0" w:shadow="0" w:frame="0"/>
              <w:left w:val="none" w:sz="0" w:space="0" w:shadow="0" w:frame="0"/>
              <w:right w:val="none" w:sz="0" w:space="0" w:shadow="0" w:frame="0"/>
            </w:tcBorders>
            <w:shd w:val="nil" w:color="auto" w:fill="auto"/>
            <w:vAlign w:val="center"/>
          </w:tcPr>
          <w:p>
            <w:pPr>
              <w:rPr>
                <w:color w:val="808080"/>
              </w:rPr>
            </w:pPr>
            <w:r>
              <w:rPr>
                <w:b w:val="1"/>
                <w:color w:val="808080"/>
                <w:sz w:val="48"/>
              </w:rPr>
              <w:t>STATISTICAL RELEASE</w:t>
            </w:r>
          </w:p>
        </w:tc>
        <w:tc>
          <w:tcPr>
            <w:tcW w:w="0" w:type="auto"/>
            <w:tcBorders>
              <w:top w:val="none" w:sz="0" w:space="0" w:shadow="0" w:frame="0"/>
              <w:left w:val="none" w:sz="0" w:space="0" w:shadow="0" w:frame="0"/>
              <w:right w:val="none" w:sz="0" w:space="0" w:shadow="0" w:frame="0"/>
            </w:tcBorders>
            <w:vAlign w:val="center"/>
          </w:tcPr>
          <w:p>
            <w:pPr>
              <w:jc w:val="right"/>
              <w:rPr>
                <w:b w:val="1"/>
                <w:color w:val="808080"/>
                <w:sz w:val="12"/>
              </w:rPr>
            </w:pPr>
            <w:r>
              <w:rPr>
                <w:b w:val="1"/>
                <w:color w:val="808080"/>
                <w:sz w:val="48"/>
              </w:rPr>
              <w:t>PM11</w:t>
            </w:r>
          </w:p>
        </w:tc>
      </w:tr>
      <w:tr>
        <w:trPr>
          <w:wAfter w:w="0" w:type="dxa"/>
          <w:trHeight w:hRule="exact" w:val="279"/>
        </w:trPr>
        <w:tc>
          <w:tcPr>
            <w:tcW w:w="0" w:type="auto"/>
            <w:gridSpan w:val="2"/>
            <w:tcBorders>
              <w:top w:val="none" w:sz="0" w:space="0" w:shadow="0" w:frame="0"/>
              <w:left w:val="none" w:sz="0" w:space="0" w:shadow="0" w:frame="0"/>
              <w:bottom w:val="none" w:sz="0" w:space="0" w:shadow="0" w:frame="0"/>
              <w:right w:val="none" w:sz="0" w:space="0" w:shadow="0" w:frame="0"/>
            </w:tcBorders>
            <w:shd w:val="nil" w:color="auto" w:fill="auto"/>
            <w:vAlign w:val="center"/>
          </w:tcPr>
          <w:p>
            <w:r>
              <w:rPr>
                <w:sz w:val="22"/>
              </w:rPr>
              <w:t>Number 068 • Year LXIII, 15/03/2012</w:t>
            </w:r>
          </w:p>
        </w:tc>
        <w:tc>
          <w:tcPr>
            <w:tcW w:w="0" w:type="auto"/>
            <w:tcBorders>
              <w:left w:val="none" w:sz="0" w:space="0" w:shadow="0" w:frame="0"/>
              <w:bottom w:val="none" w:sz="0" w:space="0" w:shadow="0" w:frame="0"/>
              <w:right w:val="none" w:sz="0" w:space="0" w:shadow="0" w:frame="0"/>
            </w:tcBorders>
            <w:vAlign w:val="center"/>
          </w:tcPr>
          <w:p>
            <w:pPr>
              <w:jc w:val="right"/>
              <w:rPr>
                <w:b w:val="1"/>
                <w:color w:val="808080"/>
                <w:sz w:val="48"/>
              </w:rPr>
            </w:pPr>
          </w:p>
        </w:tc>
      </w:tr>
      <w:tr>
        <w:trPr>
          <w:wAfter w:w="0" w:type="dxa"/>
          <w:trHeight w:hRule="atLeast" w:val="411"/>
        </w:trPr>
        <w:tc>
          <w:tcPr>
            <w:tcW w:w="0" w:type="auto"/>
            <w:gridSpan w:val="2"/>
            <w:tcBorders>
              <w:top w:val="none" w:sz="0" w:space="0" w:shadow="0" w:frame="0"/>
              <w:left w:val="none" w:sz="0" w:space="0" w:shadow="0" w:frame="0"/>
              <w:bottom w:val="single" w:sz="12" w:space="0" w:shadow="0" w:frame="0" w:color="808080"/>
              <w:right w:val="none" w:sz="0" w:space="0" w:shadow="0" w:frame="0"/>
            </w:tcBorders>
            <w:vAlign w:val="center"/>
          </w:tcPr>
          <w:p>
            <w:pPr>
              <w:rPr>
                <w:b w:val="1"/>
                <w:sz w:val="24"/>
              </w:rPr>
            </w:pPr>
            <w:r>
              <w:rPr>
                <w:b w:val="1"/>
                <w:sz w:val="24"/>
              </w:rPr>
              <w:t>Turnover statistics</w:t>
            </w:r>
          </w:p>
        </w:tc>
        <w:tc>
          <w:tcPr>
            <w:tcW w:w="0" w:type="auto"/>
            <w:tcBorders>
              <w:top w:val="none" w:sz="0" w:space="0" w:shadow="0" w:frame="0"/>
              <w:left w:val="none" w:sz="0" w:space="0" w:shadow="0" w:frame="0"/>
              <w:bottom w:val="single" w:sz="12" w:space="0" w:shadow="0" w:frame="0" w:color="808080"/>
              <w:right w:val="none" w:sz="0" w:space="0" w:shadow="0" w:frame="0"/>
            </w:tcBorders>
            <w:vAlign w:val="center"/>
          </w:tcPr>
          <w:p>
            <w:pPr>
              <w:jc w:val="right"/>
            </w:pPr>
            <w:r>
              <w:t>SERB068 PM11 150313</w:t>
            </w:r>
          </w:p>
        </w:tc>
      </w:tr>
    </w:tbl>
    <w:p>
      <w:pPr>
        <w:pStyle w:val="P8"/>
        <w:spacing w:before="480" w:after="120"/>
      </w:pPr>
      <w:r>
        <w:t xml:space="preserve">Domestic trade of the Republic of Serbia                                                                               – IV quarter 2012– </w:t>
      </w:r>
    </w:p>
    <w:p>
      <w:pPr>
        <w:pStyle w:val="P35"/>
        <w:spacing w:before="120"/>
        <w:ind w:firstLine="397"/>
        <w:jc w:val="both"/>
      </w:pPr>
      <w:r>
        <w:t>Retail and wholesale trade turnover and motor vehicles repair (CA division 45) in the Republic of Serbia in the fourth quarter of 2012, compared to the same period 2011, decreased by 5.3% at current prices. When comparing the same period, the turnover in the Republic of Serbia increased at current prices by 11.4% in wholesale trade (CA division 46) and in retail trade (CA division 47) by 0.2%.</w:t>
      </w:r>
    </w:p>
    <w:p>
      <w:pPr>
        <w:pStyle w:val="P35"/>
        <w:spacing w:before="120"/>
        <w:ind w:firstLine="397"/>
        <w:jc w:val="both"/>
      </w:pPr>
      <w:r>
        <w:t xml:space="preserve">The following product groupings noted the biggest share in trade turnover structure: in CA division 45 - motor vehicles (51.7%), in CA division 46 – food products, beverages and tobacco (25.8%) and CA division 47 – food products and alcoholic beverages (32%). </w:t>
      </w:r>
    </w:p>
    <w:p>
      <w:pPr>
        <w:pStyle w:val="P35"/>
        <w:spacing w:before="360" w:after="40"/>
        <w:jc w:val="center"/>
        <w:rPr>
          <w:b w:val="1"/>
        </w:rPr>
      </w:pPr>
      <w:r>
        <w:rPr>
          <w:b w:val="1"/>
        </w:rPr>
        <w:t>1. Domestic trade by divisions of the Classification of Activities</w:t>
      </w:r>
    </w:p>
    <w:tbl>
      <w:tblPr>
        <w:tblStyle w:val="T3"/>
        <w:tblW w:w="10094" w:type="dxa"/>
        <w:jc w:val="center"/>
        <w:tblBorders>
          <w:top w:val="none" w:sz="0"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autofit"/>
        <w:tblCellMar>
          <w:left w:w="28" w:type="dxa"/>
          <w:right w:w="28" w:type="dxa"/>
        </w:tblCellMar>
      </w:tblPr>
      <w:tblGrid/>
      <w:tr>
        <w:trPr>
          <w:wAfter w:w="0" w:type="dxa"/>
          <w:trHeight w:hRule="atLeast" w:val="475"/>
        </w:trPr>
        <w:tc>
          <w:tcPr>
            <w:tcW w:w="4139" w:type="dxa"/>
            <w:tcBorders>
              <w:top w:val="single" w:sz="4" w:space="0" w:shadow="0" w:frame="0"/>
              <w:bottom w:val="single" w:sz="4" w:space="0" w:shadow="0" w:frame="0"/>
              <w:right w:val="single" w:sz="4" w:space="0" w:shadow="0" w:frame="0"/>
            </w:tcBorders>
            <w:vAlign w:val="center"/>
          </w:tcPr>
          <w:p>
            <w:pPr>
              <w:spacing w:lineRule="auto" w:line="221" w:before="40" w:after="40"/>
              <w:jc w:val="center"/>
              <w:rPr>
                <w:sz w:val="16"/>
              </w:rPr>
            </w:pPr>
          </w:p>
        </w:tc>
        <w:tc>
          <w:tcPr>
            <w:tcW w:w="1985"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1"/>
              <w:jc w:val="center"/>
              <w:rPr>
                <w:sz w:val="16"/>
              </w:rPr>
            </w:pPr>
            <w:r>
              <w:rPr>
                <w:sz w:val="16"/>
              </w:rPr>
              <w:t>Republic of Serbia</w:t>
            </w:r>
          </w:p>
        </w:tc>
        <w:tc>
          <w:tcPr>
            <w:tcW w:w="1985"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1" w:before="120" w:after="40"/>
              <w:jc w:val="center"/>
              <w:rPr>
                <w:sz w:val="16"/>
              </w:rPr>
            </w:pPr>
            <w:r>
              <w:rPr>
                <w:sz w:val="16"/>
              </w:rPr>
              <w:t>Serbia – sever</w:t>
            </w:r>
          </w:p>
        </w:tc>
        <w:tc>
          <w:tcPr>
            <w:tcW w:w="1985" w:type="dxa"/>
            <w:tcBorders>
              <w:top w:val="single" w:sz="4" w:space="0" w:shadow="0" w:frame="0"/>
              <w:left w:val="single" w:sz="4" w:space="0" w:shadow="0" w:frame="0"/>
              <w:bottom w:val="single" w:sz="4" w:space="0" w:shadow="0" w:frame="0"/>
            </w:tcBorders>
            <w:vAlign w:val="center"/>
          </w:tcPr>
          <w:p>
            <w:pPr>
              <w:spacing w:lineRule="auto" w:line="221" w:before="120" w:after="40"/>
              <w:jc w:val="center"/>
              <w:rPr>
                <w:sz w:val="16"/>
              </w:rPr>
            </w:pPr>
            <w:r>
              <w:rPr>
                <w:sz w:val="16"/>
              </w:rPr>
              <w:t>Serbia - jug</w:t>
            </w:r>
          </w:p>
        </w:tc>
      </w:tr>
      <w:tr>
        <w:trPr>
          <w:wAfter w:w="0" w:type="dxa"/>
        </w:trPr>
        <w:tc>
          <w:tcPr>
            <w:tcW w:w="10094" w:type="dxa"/>
            <w:gridSpan w:val="4"/>
            <w:tcBorders>
              <w:top w:val="single" w:sz="4" w:space="0" w:shadow="0" w:frame="0"/>
            </w:tcBorders>
          </w:tcPr>
          <w:p>
            <w:pPr>
              <w:spacing w:lineRule="auto" w:line="221" w:before="60" w:after="60"/>
              <w:jc w:val="center"/>
              <w:rPr>
                <w:sz w:val="16"/>
              </w:rPr>
            </w:pPr>
            <w:r>
              <w:rPr>
                <w:sz w:val="16"/>
              </w:rPr>
              <w:t>Retail and wholesale trade and motor vehicles repair (CA division 45)</w:t>
            </w:r>
          </w:p>
        </w:tc>
      </w:tr>
      <w:tr>
        <w:trPr>
          <w:wAfter w:w="0" w:type="dxa"/>
        </w:trPr>
        <w:tc>
          <w:tcPr>
            <w:tcW w:w="4139" w:type="dxa"/>
            <w:tcBorders>
              <w:right w:val="single" w:sz="4" w:space="0" w:shadow="0" w:frame="0"/>
            </w:tcBorders>
          </w:tcPr>
          <w:p>
            <w:pPr>
              <w:rPr>
                <w:sz w:val="16"/>
              </w:rPr>
            </w:pPr>
            <w:r>
              <w:rPr>
                <w:sz w:val="16"/>
              </w:rPr>
              <w:t>Number of stores/repair shops</w:t>
            </w:r>
          </w:p>
        </w:tc>
        <w:tc>
          <w:tcPr>
            <w:tcW w:w="1985" w:type="dxa"/>
            <w:tcBorders>
              <w:left w:val="single" w:sz="4" w:space="0" w:shadow="0" w:frame="0"/>
            </w:tcBorders>
          </w:tcPr>
          <w:p>
            <w:pPr>
              <w:ind w:right="284"/>
              <w:jc w:val="right"/>
              <w:rPr>
                <w:sz w:val="16"/>
              </w:rPr>
            </w:pPr>
            <w:r>
              <w:rPr>
                <w:sz w:val="16"/>
              </w:rPr>
              <w:t>2 024</w:t>
            </w:r>
          </w:p>
        </w:tc>
        <w:tc>
          <w:tcPr>
            <w:tcW w:w="1985" w:type="dxa"/>
          </w:tcPr>
          <w:p>
            <w:pPr>
              <w:ind w:right="284"/>
              <w:jc w:val="right"/>
              <w:rPr>
                <w:sz w:val="16"/>
              </w:rPr>
            </w:pPr>
            <w:r>
              <w:rPr>
                <w:sz w:val="16"/>
              </w:rPr>
              <w:t>1 320</w:t>
            </w:r>
          </w:p>
        </w:tc>
        <w:tc>
          <w:tcPr>
            <w:tcW w:w="1985" w:type="dxa"/>
          </w:tcPr>
          <w:p>
            <w:pPr>
              <w:ind w:right="284"/>
              <w:jc w:val="right"/>
              <w:rPr>
                <w:sz w:val="16"/>
              </w:rPr>
            </w:pPr>
            <w:r>
              <w:rPr>
                <w:sz w:val="16"/>
              </w:rPr>
              <w:t>704</w:t>
            </w:r>
          </w:p>
        </w:tc>
      </w:tr>
      <w:tr>
        <w:trPr>
          <w:wAfter w:w="0" w:type="dxa"/>
        </w:trPr>
        <w:tc>
          <w:tcPr>
            <w:tcW w:w="4139" w:type="dxa"/>
            <w:tcBorders>
              <w:right w:val="single" w:sz="4" w:space="0" w:shadow="0" w:frame="0"/>
            </w:tcBorders>
          </w:tcPr>
          <w:p>
            <w:pPr>
              <w:rPr>
                <w:sz w:val="16"/>
              </w:rPr>
            </w:pPr>
            <w:r>
              <w:rPr>
                <w:sz w:val="16"/>
              </w:rPr>
              <w:t>Number of employees</w:t>
            </w:r>
          </w:p>
        </w:tc>
        <w:tc>
          <w:tcPr>
            <w:tcW w:w="1985" w:type="dxa"/>
            <w:tcBorders>
              <w:left w:val="single" w:sz="4" w:space="0" w:shadow="0" w:frame="0"/>
            </w:tcBorders>
          </w:tcPr>
          <w:p>
            <w:pPr>
              <w:ind w:right="284"/>
              <w:jc w:val="right"/>
              <w:rPr>
                <w:sz w:val="16"/>
              </w:rPr>
            </w:pPr>
            <w:r>
              <w:rPr>
                <w:sz w:val="16"/>
              </w:rPr>
              <w:t>14 332</w:t>
            </w:r>
          </w:p>
        </w:tc>
        <w:tc>
          <w:tcPr>
            <w:tcW w:w="1985" w:type="dxa"/>
          </w:tcPr>
          <w:p>
            <w:pPr>
              <w:ind w:right="284"/>
              <w:jc w:val="right"/>
              <w:rPr>
                <w:sz w:val="16"/>
              </w:rPr>
            </w:pPr>
            <w:r>
              <w:rPr>
                <w:sz w:val="16"/>
              </w:rPr>
              <w:t>10 921</w:t>
            </w:r>
          </w:p>
        </w:tc>
        <w:tc>
          <w:tcPr>
            <w:tcW w:w="1985" w:type="dxa"/>
          </w:tcPr>
          <w:p>
            <w:pPr>
              <w:ind w:right="284"/>
              <w:jc w:val="right"/>
              <w:rPr>
                <w:sz w:val="16"/>
              </w:rPr>
            </w:pPr>
            <w:r>
              <w:rPr>
                <w:sz w:val="16"/>
              </w:rPr>
              <w:t>3 411</w:t>
            </w:r>
          </w:p>
        </w:tc>
      </w:tr>
      <w:tr>
        <w:trPr>
          <w:wAfter w:w="0" w:type="dxa"/>
          <w:trHeight w:hRule="atLeast" w:val="266"/>
        </w:trPr>
        <w:tc>
          <w:tcPr>
            <w:tcW w:w="4139" w:type="dxa"/>
            <w:tcBorders>
              <w:right w:val="single" w:sz="4" w:space="0" w:shadow="0" w:frame="0"/>
            </w:tcBorders>
          </w:tcPr>
          <w:p>
            <w:pPr>
              <w:rPr>
                <w:sz w:val="16"/>
              </w:rPr>
            </w:pPr>
            <w:r>
              <w:rPr>
                <w:sz w:val="16"/>
              </w:rPr>
              <w:t>Turnover (VAT included), in thous. RSD</w:t>
            </w:r>
          </w:p>
        </w:tc>
        <w:tc>
          <w:tcPr>
            <w:tcW w:w="1985" w:type="dxa"/>
            <w:tcBorders>
              <w:left w:val="single" w:sz="4" w:space="0" w:shadow="0" w:frame="0"/>
            </w:tcBorders>
          </w:tcPr>
          <w:p>
            <w:pPr>
              <w:ind w:right="284"/>
              <w:jc w:val="right"/>
              <w:rPr>
                <w:sz w:val="16"/>
              </w:rPr>
            </w:pPr>
          </w:p>
        </w:tc>
        <w:tc>
          <w:tcPr>
            <w:tcW w:w="1985" w:type="dxa"/>
          </w:tcPr>
          <w:p>
            <w:pPr>
              <w:ind w:right="284"/>
              <w:jc w:val="right"/>
              <w:rPr>
                <w:sz w:val="16"/>
              </w:rPr>
            </w:pPr>
          </w:p>
        </w:tc>
        <w:tc>
          <w:tcPr>
            <w:tcW w:w="1985" w:type="dxa"/>
          </w:tcPr>
          <w:p>
            <w:pPr>
              <w:ind w:right="284"/>
              <w:jc w:val="right"/>
              <w:rPr>
                <w:sz w:val="16"/>
              </w:rPr>
            </w:pPr>
          </w:p>
        </w:tc>
      </w:tr>
      <w:tr>
        <w:trPr>
          <w:wAfter w:w="0" w:type="dxa"/>
        </w:trPr>
        <w:tc>
          <w:tcPr>
            <w:tcW w:w="4139" w:type="dxa"/>
            <w:tcBorders>
              <w:right w:val="single" w:sz="4" w:space="0" w:shadow="0" w:frame="0"/>
            </w:tcBorders>
          </w:tcPr>
          <w:p>
            <w:pPr>
              <w:ind w:left="144"/>
              <w:jc w:val="both"/>
              <w:rPr>
                <w:sz w:val="16"/>
                <w:u w:val="single"/>
              </w:rPr>
            </w:pPr>
            <w:r>
              <w:rPr>
                <w:sz w:val="16"/>
              </w:rPr>
              <w:t>X–XII 2012</w:t>
            </w:r>
          </w:p>
        </w:tc>
        <w:tc>
          <w:tcPr>
            <w:tcW w:w="1985" w:type="dxa"/>
            <w:tcBorders>
              <w:left w:val="single" w:sz="4" w:space="0" w:shadow="0" w:frame="0"/>
            </w:tcBorders>
          </w:tcPr>
          <w:p>
            <w:pPr>
              <w:ind w:right="284"/>
              <w:jc w:val="right"/>
              <w:rPr>
                <w:sz w:val="16"/>
              </w:rPr>
            </w:pPr>
            <w:r>
              <w:rPr>
                <w:sz w:val="16"/>
              </w:rPr>
              <w:t>50 054 674</w:t>
            </w:r>
          </w:p>
        </w:tc>
        <w:tc>
          <w:tcPr>
            <w:tcW w:w="1985" w:type="dxa"/>
          </w:tcPr>
          <w:p>
            <w:pPr>
              <w:ind w:right="288"/>
              <w:jc w:val="right"/>
              <w:rPr>
                <w:sz w:val="16"/>
              </w:rPr>
            </w:pPr>
            <w:r>
              <w:rPr>
                <w:sz w:val="16"/>
              </w:rPr>
              <w:t>38 726 777</w:t>
            </w:r>
          </w:p>
        </w:tc>
        <w:tc>
          <w:tcPr>
            <w:tcW w:w="1985" w:type="dxa"/>
          </w:tcPr>
          <w:p>
            <w:pPr>
              <w:ind w:right="288"/>
              <w:jc w:val="right"/>
              <w:rPr>
                <w:sz w:val="16"/>
              </w:rPr>
            </w:pPr>
            <w:r>
              <w:rPr>
                <w:sz w:val="16"/>
              </w:rPr>
              <w:t>11 327 897</w:t>
            </w:r>
          </w:p>
        </w:tc>
      </w:tr>
      <w:tr>
        <w:trPr>
          <w:wAfter w:w="0" w:type="dxa"/>
        </w:trPr>
        <w:tc>
          <w:tcPr>
            <w:tcW w:w="4139" w:type="dxa"/>
            <w:tcBorders>
              <w:right w:val="single" w:sz="4" w:space="0" w:shadow="0" w:frame="0"/>
            </w:tcBorders>
          </w:tcPr>
          <w:p>
            <w:pPr>
              <w:ind w:left="144"/>
              <w:jc w:val="both"/>
              <w:rPr>
                <w:sz w:val="16"/>
                <w:u w:val="single"/>
              </w:rPr>
            </w:pPr>
            <w:r>
              <w:rPr>
                <w:sz w:val="16"/>
              </w:rPr>
              <w:t>I–XII 2012</w:t>
            </w:r>
          </w:p>
        </w:tc>
        <w:tc>
          <w:tcPr>
            <w:tcW w:w="1985" w:type="dxa"/>
            <w:tcBorders>
              <w:left w:val="single" w:sz="4" w:space="0" w:shadow="0" w:frame="0"/>
            </w:tcBorders>
            <w:vAlign w:val="bottom"/>
          </w:tcPr>
          <w:p>
            <w:pPr>
              <w:ind w:right="288"/>
              <w:jc w:val="right"/>
              <w:rPr>
                <w:sz w:val="16"/>
              </w:rPr>
            </w:pPr>
            <w:r>
              <w:rPr>
                <w:sz w:val="16"/>
              </w:rPr>
              <w:t>188 301 636</w:t>
            </w:r>
          </w:p>
        </w:tc>
        <w:tc>
          <w:tcPr>
            <w:tcW w:w="1985" w:type="dxa"/>
            <w:vAlign w:val="bottom"/>
          </w:tcPr>
          <w:p>
            <w:pPr>
              <w:ind w:right="288"/>
              <w:jc w:val="right"/>
              <w:rPr>
                <w:sz w:val="16"/>
              </w:rPr>
            </w:pPr>
            <w:r>
              <w:rPr>
                <w:sz w:val="16"/>
              </w:rPr>
              <w:t>145 209 244</w:t>
            </w:r>
          </w:p>
        </w:tc>
        <w:tc>
          <w:tcPr>
            <w:tcW w:w="1985" w:type="dxa"/>
            <w:vAlign w:val="bottom"/>
          </w:tcPr>
          <w:p>
            <w:pPr>
              <w:ind w:right="288"/>
              <w:jc w:val="right"/>
              <w:rPr>
                <w:sz w:val="16"/>
              </w:rPr>
            </w:pPr>
            <w:r>
              <w:rPr>
                <w:sz w:val="16"/>
              </w:rPr>
              <w:t>43 092 392</w:t>
            </w:r>
          </w:p>
        </w:tc>
      </w:tr>
      <w:tr>
        <w:trPr>
          <w:wAfter w:w="0" w:type="dxa"/>
        </w:trPr>
        <w:tc>
          <w:tcPr>
            <w:tcW w:w="4139" w:type="dxa"/>
            <w:tcBorders>
              <w:right w:val="single" w:sz="4" w:space="0" w:shadow="0" w:frame="0"/>
            </w:tcBorders>
          </w:tcPr>
          <w:p>
            <w:pPr>
              <w:rPr>
                <w:sz w:val="16"/>
              </w:rPr>
            </w:pPr>
            <w:r>
              <w:rPr>
                <w:sz w:val="16"/>
              </w:rPr>
              <w:t>Indices, current prices</w:t>
            </w:r>
          </w:p>
        </w:tc>
        <w:tc>
          <w:tcPr>
            <w:tcW w:w="1985" w:type="dxa"/>
            <w:tcBorders>
              <w:left w:val="single" w:sz="4" w:space="0" w:shadow="0" w:frame="0"/>
            </w:tcBorders>
          </w:tcPr>
          <w:p>
            <w:pPr>
              <w:ind w:right="284"/>
              <w:jc w:val="right"/>
              <w:rPr>
                <w:sz w:val="16"/>
              </w:rPr>
            </w:pPr>
          </w:p>
        </w:tc>
        <w:tc>
          <w:tcPr>
            <w:tcW w:w="1985" w:type="dxa"/>
          </w:tcPr>
          <w:p>
            <w:pPr>
              <w:ind w:right="284"/>
              <w:jc w:val="right"/>
              <w:rPr>
                <w:sz w:val="16"/>
              </w:rPr>
            </w:pPr>
          </w:p>
        </w:tc>
        <w:tc>
          <w:tcPr>
            <w:tcW w:w="1985" w:type="dxa"/>
          </w:tcPr>
          <w:p>
            <w:pPr>
              <w:ind w:right="284"/>
              <w:jc w:val="right"/>
              <w:rPr>
                <w:sz w:val="16"/>
              </w:rPr>
            </w:pPr>
          </w:p>
        </w:tc>
      </w:tr>
      <w:tr>
        <w:trPr>
          <w:wAfter w:w="0" w:type="dxa"/>
        </w:trPr>
        <w:tc>
          <w:tcPr>
            <w:tcW w:w="4139" w:type="dxa"/>
            <w:tcBorders>
              <w:right w:val="single" w:sz="4" w:space="0" w:shadow="0" w:frame="0"/>
            </w:tcBorders>
          </w:tcPr>
          <w:p>
            <w:pPr>
              <w:ind w:left="144"/>
              <w:jc w:val="both"/>
              <w:rPr>
                <w:sz w:val="16"/>
              </w:rPr>
            </w:pPr>
            <w:r>
              <w:rPr>
                <w:sz w:val="16"/>
              </w:rPr>
              <w:t xml:space="preserve">X–XII 2012 / X–XII 2011 </w:t>
            </w:r>
          </w:p>
        </w:tc>
        <w:tc>
          <w:tcPr>
            <w:tcW w:w="1985" w:type="dxa"/>
            <w:tcBorders>
              <w:left w:val="single" w:sz="4" w:space="0" w:shadow="0" w:frame="0"/>
            </w:tcBorders>
            <w:vAlign w:val="bottom"/>
          </w:tcPr>
          <w:p>
            <w:pPr>
              <w:ind w:right="288"/>
              <w:jc w:val="right"/>
              <w:rPr>
                <w:sz w:val="16"/>
              </w:rPr>
            </w:pPr>
            <w:r>
              <w:rPr>
                <w:sz w:val="16"/>
              </w:rPr>
              <w:t>94,7</w:t>
            </w:r>
          </w:p>
        </w:tc>
        <w:tc>
          <w:tcPr>
            <w:tcW w:w="1985" w:type="dxa"/>
            <w:vAlign w:val="bottom"/>
          </w:tcPr>
          <w:p>
            <w:pPr>
              <w:ind w:right="288"/>
              <w:jc w:val="right"/>
              <w:rPr>
                <w:sz w:val="16"/>
              </w:rPr>
            </w:pPr>
            <w:r>
              <w:rPr>
                <w:sz w:val="16"/>
              </w:rPr>
              <w:t>96,0</w:t>
            </w:r>
          </w:p>
        </w:tc>
        <w:tc>
          <w:tcPr>
            <w:tcW w:w="1985" w:type="dxa"/>
            <w:vAlign w:val="bottom"/>
          </w:tcPr>
          <w:p>
            <w:pPr>
              <w:ind w:right="288"/>
              <w:jc w:val="right"/>
              <w:rPr>
                <w:sz w:val="16"/>
              </w:rPr>
            </w:pPr>
            <w:r>
              <w:rPr>
                <w:sz w:val="16"/>
              </w:rPr>
              <w:t>90,5</w:t>
            </w:r>
          </w:p>
        </w:tc>
      </w:tr>
      <w:tr>
        <w:trPr>
          <w:wAfter w:w="0" w:type="dxa"/>
        </w:trPr>
        <w:tc>
          <w:tcPr>
            <w:tcW w:w="4139" w:type="dxa"/>
            <w:tcBorders>
              <w:right w:val="single" w:sz="4" w:space="0" w:shadow="0" w:frame="0"/>
            </w:tcBorders>
          </w:tcPr>
          <w:p>
            <w:pPr>
              <w:ind w:left="144"/>
              <w:jc w:val="both"/>
              <w:rPr>
                <w:sz w:val="16"/>
              </w:rPr>
            </w:pPr>
            <w:r>
              <w:rPr>
                <w:sz w:val="16"/>
              </w:rPr>
              <w:t xml:space="preserve">I–XII 2012 / I–XII 2011 </w:t>
            </w:r>
          </w:p>
        </w:tc>
        <w:tc>
          <w:tcPr>
            <w:tcW w:w="1985" w:type="dxa"/>
            <w:tcBorders>
              <w:left w:val="single" w:sz="4" w:space="0" w:shadow="0" w:frame="0"/>
            </w:tcBorders>
            <w:vAlign w:val="bottom"/>
          </w:tcPr>
          <w:p>
            <w:pPr>
              <w:ind w:right="288"/>
              <w:jc w:val="right"/>
              <w:rPr>
                <w:sz w:val="16"/>
              </w:rPr>
            </w:pPr>
            <w:r>
              <w:rPr>
                <w:sz w:val="16"/>
              </w:rPr>
              <w:t>97,1</w:t>
            </w:r>
          </w:p>
        </w:tc>
        <w:tc>
          <w:tcPr>
            <w:tcW w:w="1985" w:type="dxa"/>
            <w:vAlign w:val="bottom"/>
          </w:tcPr>
          <w:p>
            <w:pPr>
              <w:ind w:right="288"/>
              <w:jc w:val="right"/>
              <w:rPr>
                <w:sz w:val="16"/>
              </w:rPr>
            </w:pPr>
            <w:r>
              <w:rPr>
                <w:sz w:val="16"/>
              </w:rPr>
              <w:t>99,3</w:t>
            </w:r>
          </w:p>
        </w:tc>
        <w:tc>
          <w:tcPr>
            <w:tcW w:w="1985" w:type="dxa"/>
            <w:vAlign w:val="bottom"/>
          </w:tcPr>
          <w:p>
            <w:pPr>
              <w:ind w:right="288"/>
              <w:jc w:val="right"/>
              <w:rPr>
                <w:sz w:val="16"/>
              </w:rPr>
            </w:pPr>
            <w:r>
              <w:rPr>
                <w:sz w:val="16"/>
              </w:rPr>
              <w:t>90,2</w:t>
            </w:r>
          </w:p>
        </w:tc>
      </w:tr>
      <w:tr>
        <w:trPr>
          <w:wAfter w:w="0" w:type="dxa"/>
        </w:trPr>
        <w:tc>
          <w:tcPr>
            <w:tcW w:w="10094" w:type="dxa"/>
            <w:gridSpan w:val="4"/>
          </w:tcPr>
          <w:p>
            <w:pPr>
              <w:spacing w:lineRule="auto" w:line="221" w:before="60" w:after="60"/>
              <w:jc w:val="center"/>
              <w:rPr>
                <w:sz w:val="16"/>
              </w:rPr>
            </w:pPr>
            <w:r>
              <w:rPr>
                <w:sz w:val="16"/>
              </w:rPr>
              <w:t xml:space="preserve">Wholesale trade, excluding  motor vehicles trade (CA division 46)</w:t>
            </w:r>
          </w:p>
        </w:tc>
      </w:tr>
      <w:tr>
        <w:trPr>
          <w:wAfter w:w="0" w:type="dxa"/>
        </w:trPr>
        <w:tc>
          <w:tcPr>
            <w:tcW w:w="4139" w:type="dxa"/>
            <w:tcBorders>
              <w:right w:val="single" w:sz="4" w:space="0" w:shadow="0" w:frame="0"/>
            </w:tcBorders>
          </w:tcPr>
          <w:p>
            <w:pPr>
              <w:spacing w:before="60"/>
              <w:rPr>
                <w:sz w:val="16"/>
              </w:rPr>
            </w:pPr>
            <w:r>
              <w:rPr>
                <w:sz w:val="16"/>
              </w:rPr>
              <w:t>Number of employees</w:t>
            </w:r>
          </w:p>
        </w:tc>
        <w:tc>
          <w:tcPr>
            <w:tcW w:w="1985" w:type="dxa"/>
            <w:tcBorders>
              <w:left w:val="single" w:sz="4" w:space="0" w:shadow="0" w:frame="0"/>
            </w:tcBorders>
          </w:tcPr>
          <w:p>
            <w:pPr>
              <w:ind w:right="284"/>
              <w:jc w:val="right"/>
              <w:rPr>
                <w:sz w:val="16"/>
              </w:rPr>
            </w:pPr>
            <w:r>
              <w:rPr>
                <w:sz w:val="16"/>
              </w:rPr>
              <w:t>73 183</w:t>
            </w:r>
          </w:p>
        </w:tc>
        <w:tc>
          <w:tcPr>
            <w:tcW w:w="1985" w:type="dxa"/>
          </w:tcPr>
          <w:p>
            <w:pPr>
              <w:ind w:right="284"/>
              <w:jc w:val="right"/>
              <w:rPr>
                <w:sz w:val="16"/>
              </w:rPr>
            </w:pPr>
            <w:r>
              <w:rPr>
                <w:sz w:val="16"/>
              </w:rPr>
              <w:t>53 897</w:t>
            </w:r>
          </w:p>
        </w:tc>
        <w:tc>
          <w:tcPr>
            <w:tcW w:w="1985" w:type="dxa"/>
          </w:tcPr>
          <w:p>
            <w:pPr>
              <w:ind w:right="284"/>
              <w:jc w:val="right"/>
              <w:rPr>
                <w:sz w:val="16"/>
              </w:rPr>
            </w:pPr>
            <w:r>
              <w:rPr>
                <w:sz w:val="16"/>
              </w:rPr>
              <w:t>19 286</w:t>
            </w:r>
          </w:p>
        </w:tc>
      </w:tr>
      <w:tr>
        <w:trPr>
          <w:wAfter w:w="0" w:type="dxa"/>
        </w:trPr>
        <w:tc>
          <w:tcPr>
            <w:tcW w:w="4139" w:type="dxa"/>
            <w:tcBorders>
              <w:right w:val="single" w:sz="4" w:space="0" w:shadow="0" w:frame="0"/>
            </w:tcBorders>
          </w:tcPr>
          <w:p>
            <w:pPr>
              <w:spacing w:before="60"/>
              <w:rPr>
                <w:sz w:val="16"/>
              </w:rPr>
            </w:pPr>
            <w:r>
              <w:rPr>
                <w:sz w:val="16"/>
              </w:rPr>
              <w:t>Turnover (VAT included), in thous. RSD</w:t>
            </w:r>
          </w:p>
        </w:tc>
        <w:tc>
          <w:tcPr>
            <w:tcW w:w="1985" w:type="dxa"/>
            <w:tcBorders>
              <w:left w:val="single" w:sz="4" w:space="0" w:shadow="0" w:frame="0"/>
            </w:tcBorders>
          </w:tcPr>
          <w:p>
            <w:pPr>
              <w:ind w:right="284"/>
              <w:jc w:val="right"/>
              <w:rPr>
                <w:sz w:val="16"/>
              </w:rPr>
            </w:pPr>
          </w:p>
        </w:tc>
        <w:tc>
          <w:tcPr>
            <w:tcW w:w="1985" w:type="dxa"/>
          </w:tcPr>
          <w:p>
            <w:pPr>
              <w:ind w:right="284"/>
              <w:jc w:val="right"/>
              <w:rPr>
                <w:sz w:val="16"/>
              </w:rPr>
            </w:pPr>
          </w:p>
        </w:tc>
        <w:tc>
          <w:tcPr>
            <w:tcW w:w="1985" w:type="dxa"/>
          </w:tcPr>
          <w:p>
            <w:pPr>
              <w:ind w:right="284"/>
              <w:jc w:val="right"/>
              <w:rPr>
                <w:sz w:val="16"/>
              </w:rPr>
            </w:pPr>
          </w:p>
        </w:tc>
      </w:tr>
      <w:tr>
        <w:trPr>
          <w:wAfter w:w="0" w:type="dxa"/>
        </w:trPr>
        <w:tc>
          <w:tcPr>
            <w:tcW w:w="4139" w:type="dxa"/>
            <w:tcBorders>
              <w:right w:val="single" w:sz="4" w:space="0" w:shadow="0" w:frame="0"/>
            </w:tcBorders>
          </w:tcPr>
          <w:p>
            <w:pPr>
              <w:ind w:left="144"/>
              <w:jc w:val="both"/>
              <w:rPr>
                <w:sz w:val="16"/>
                <w:u w:val="single"/>
              </w:rPr>
            </w:pPr>
            <w:r>
              <w:rPr>
                <w:sz w:val="16"/>
              </w:rPr>
              <w:t>X–XII 2012</w:t>
            </w:r>
          </w:p>
        </w:tc>
        <w:tc>
          <w:tcPr>
            <w:tcW w:w="1985" w:type="dxa"/>
            <w:tcBorders>
              <w:left w:val="single" w:sz="4" w:space="0" w:shadow="0" w:frame="0"/>
            </w:tcBorders>
          </w:tcPr>
          <w:p>
            <w:pPr>
              <w:ind w:right="284"/>
              <w:jc w:val="right"/>
              <w:rPr>
                <w:sz w:val="16"/>
              </w:rPr>
            </w:pPr>
            <w:r>
              <w:rPr>
                <w:sz w:val="16"/>
              </w:rPr>
              <w:t>601 155 610</w:t>
            </w:r>
          </w:p>
        </w:tc>
        <w:tc>
          <w:tcPr>
            <w:tcW w:w="1985" w:type="dxa"/>
          </w:tcPr>
          <w:p>
            <w:pPr>
              <w:ind w:right="284"/>
              <w:jc w:val="right"/>
              <w:rPr>
                <w:sz w:val="16"/>
              </w:rPr>
            </w:pPr>
            <w:r>
              <w:rPr>
                <w:sz w:val="16"/>
              </w:rPr>
              <w:t>507 096 429</w:t>
            </w:r>
          </w:p>
        </w:tc>
        <w:tc>
          <w:tcPr>
            <w:tcW w:w="1985" w:type="dxa"/>
          </w:tcPr>
          <w:p>
            <w:pPr>
              <w:ind w:right="284"/>
              <w:jc w:val="right"/>
              <w:rPr>
                <w:sz w:val="16"/>
              </w:rPr>
            </w:pPr>
            <w:r>
              <w:rPr>
                <w:sz w:val="16"/>
              </w:rPr>
              <w:t>94 059 181</w:t>
            </w:r>
          </w:p>
        </w:tc>
      </w:tr>
      <w:tr>
        <w:trPr>
          <w:wAfter w:w="0" w:type="dxa"/>
        </w:trPr>
        <w:tc>
          <w:tcPr>
            <w:tcW w:w="4139" w:type="dxa"/>
            <w:tcBorders>
              <w:right w:val="single" w:sz="4" w:space="0" w:shadow="0" w:frame="0"/>
            </w:tcBorders>
          </w:tcPr>
          <w:p>
            <w:pPr>
              <w:ind w:left="144"/>
              <w:jc w:val="both"/>
              <w:rPr>
                <w:sz w:val="16"/>
                <w:u w:val="single"/>
              </w:rPr>
            </w:pPr>
            <w:r>
              <w:rPr>
                <w:sz w:val="16"/>
              </w:rPr>
              <w:t>I–XII 2012</w:t>
            </w:r>
          </w:p>
        </w:tc>
        <w:tc>
          <w:tcPr>
            <w:tcW w:w="1985" w:type="dxa"/>
            <w:tcBorders>
              <w:left w:val="single" w:sz="4" w:space="0" w:shadow="0" w:frame="0"/>
            </w:tcBorders>
            <w:vAlign w:val="bottom"/>
          </w:tcPr>
          <w:p>
            <w:pPr>
              <w:ind w:right="288"/>
              <w:jc w:val="right"/>
              <w:rPr>
                <w:sz w:val="16"/>
              </w:rPr>
            </w:pPr>
            <w:r>
              <w:rPr>
                <w:sz w:val="16"/>
              </w:rPr>
              <w:t>2 259 030 594</w:t>
            </w:r>
          </w:p>
        </w:tc>
        <w:tc>
          <w:tcPr>
            <w:tcW w:w="1985" w:type="dxa"/>
            <w:vAlign w:val="bottom"/>
          </w:tcPr>
          <w:p>
            <w:pPr>
              <w:ind w:right="288"/>
              <w:jc w:val="right"/>
              <w:rPr>
                <w:sz w:val="16"/>
              </w:rPr>
            </w:pPr>
            <w:r>
              <w:rPr>
                <w:sz w:val="16"/>
              </w:rPr>
              <w:t>1 888 629 236</w:t>
            </w:r>
          </w:p>
        </w:tc>
        <w:tc>
          <w:tcPr>
            <w:tcW w:w="1985" w:type="dxa"/>
            <w:vAlign w:val="bottom"/>
          </w:tcPr>
          <w:p>
            <w:pPr>
              <w:ind w:right="288"/>
              <w:jc w:val="right"/>
              <w:rPr>
                <w:sz w:val="16"/>
              </w:rPr>
            </w:pPr>
            <w:r>
              <w:rPr>
                <w:sz w:val="16"/>
              </w:rPr>
              <w:t>370 401 358</w:t>
            </w:r>
          </w:p>
        </w:tc>
      </w:tr>
      <w:tr>
        <w:trPr>
          <w:wAfter w:w="0" w:type="dxa"/>
        </w:trPr>
        <w:tc>
          <w:tcPr>
            <w:tcW w:w="4139" w:type="dxa"/>
            <w:tcBorders>
              <w:right w:val="single" w:sz="4" w:space="0" w:shadow="0" w:frame="0"/>
            </w:tcBorders>
          </w:tcPr>
          <w:p>
            <w:pPr>
              <w:rPr>
                <w:sz w:val="16"/>
              </w:rPr>
            </w:pPr>
            <w:r>
              <w:rPr>
                <w:sz w:val="16"/>
              </w:rPr>
              <w:t>Indices, current prices</w:t>
            </w:r>
          </w:p>
        </w:tc>
        <w:tc>
          <w:tcPr>
            <w:tcW w:w="1985" w:type="dxa"/>
            <w:tcBorders>
              <w:left w:val="single" w:sz="4" w:space="0" w:shadow="0" w:frame="0"/>
            </w:tcBorders>
          </w:tcPr>
          <w:p>
            <w:pPr>
              <w:ind w:right="284"/>
              <w:jc w:val="right"/>
              <w:rPr>
                <w:sz w:val="16"/>
              </w:rPr>
            </w:pPr>
          </w:p>
        </w:tc>
        <w:tc>
          <w:tcPr>
            <w:tcW w:w="1985" w:type="dxa"/>
          </w:tcPr>
          <w:p>
            <w:pPr>
              <w:ind w:right="284"/>
              <w:jc w:val="right"/>
              <w:rPr>
                <w:sz w:val="16"/>
              </w:rPr>
            </w:pPr>
          </w:p>
        </w:tc>
        <w:tc>
          <w:tcPr>
            <w:tcW w:w="1985" w:type="dxa"/>
          </w:tcPr>
          <w:p>
            <w:pPr>
              <w:ind w:right="284"/>
              <w:jc w:val="right"/>
              <w:rPr>
                <w:sz w:val="16"/>
              </w:rPr>
            </w:pPr>
          </w:p>
        </w:tc>
      </w:tr>
      <w:tr>
        <w:trPr>
          <w:wAfter w:w="0" w:type="dxa"/>
        </w:trPr>
        <w:tc>
          <w:tcPr>
            <w:tcW w:w="4139" w:type="dxa"/>
            <w:tcBorders>
              <w:right w:val="single" w:sz="4" w:space="0" w:shadow="0" w:frame="0"/>
            </w:tcBorders>
          </w:tcPr>
          <w:p>
            <w:pPr>
              <w:ind w:left="144"/>
              <w:jc w:val="both"/>
              <w:rPr>
                <w:sz w:val="16"/>
              </w:rPr>
            </w:pPr>
            <w:r>
              <w:rPr>
                <w:sz w:val="16"/>
              </w:rPr>
              <w:t xml:space="preserve">X–XII 2012 / X–XII 2011 </w:t>
            </w:r>
          </w:p>
        </w:tc>
        <w:tc>
          <w:tcPr>
            <w:tcW w:w="1985" w:type="dxa"/>
            <w:tcBorders>
              <w:left w:val="single" w:sz="4" w:space="0" w:shadow="0" w:frame="0"/>
            </w:tcBorders>
            <w:vAlign w:val="bottom"/>
          </w:tcPr>
          <w:p>
            <w:pPr>
              <w:ind w:right="288"/>
              <w:jc w:val="right"/>
              <w:rPr>
                <w:sz w:val="16"/>
              </w:rPr>
            </w:pPr>
            <w:r>
              <w:rPr>
                <w:sz w:val="16"/>
              </w:rPr>
              <w:t>111,4</w:t>
            </w:r>
          </w:p>
        </w:tc>
        <w:tc>
          <w:tcPr>
            <w:tcW w:w="1985" w:type="dxa"/>
            <w:vAlign w:val="bottom"/>
          </w:tcPr>
          <w:p>
            <w:pPr>
              <w:ind w:right="288"/>
              <w:jc w:val="right"/>
              <w:rPr>
                <w:sz w:val="16"/>
              </w:rPr>
            </w:pPr>
            <w:r>
              <w:rPr>
                <w:sz w:val="16"/>
              </w:rPr>
              <w:t>111,7</w:t>
            </w:r>
          </w:p>
        </w:tc>
        <w:tc>
          <w:tcPr>
            <w:tcW w:w="1985" w:type="dxa"/>
            <w:vAlign w:val="bottom"/>
          </w:tcPr>
          <w:p>
            <w:pPr>
              <w:ind w:right="288"/>
              <w:jc w:val="right"/>
              <w:rPr>
                <w:sz w:val="16"/>
              </w:rPr>
            </w:pPr>
            <w:r>
              <w:rPr>
                <w:sz w:val="16"/>
              </w:rPr>
              <w:t>109,4</w:t>
            </w:r>
          </w:p>
        </w:tc>
      </w:tr>
      <w:tr>
        <w:trPr>
          <w:wAfter w:w="0" w:type="dxa"/>
        </w:trPr>
        <w:tc>
          <w:tcPr>
            <w:tcW w:w="4139" w:type="dxa"/>
            <w:tcBorders>
              <w:right w:val="single" w:sz="4" w:space="0" w:shadow="0" w:frame="0"/>
            </w:tcBorders>
          </w:tcPr>
          <w:p>
            <w:pPr>
              <w:ind w:left="144"/>
              <w:jc w:val="both"/>
              <w:rPr>
                <w:sz w:val="16"/>
              </w:rPr>
            </w:pPr>
            <w:r>
              <w:rPr>
                <w:sz w:val="16"/>
              </w:rPr>
              <w:t xml:space="preserve">I–XII 2012 / I–XII 2011 </w:t>
            </w:r>
          </w:p>
        </w:tc>
        <w:tc>
          <w:tcPr>
            <w:tcW w:w="1985" w:type="dxa"/>
            <w:tcBorders>
              <w:left w:val="single" w:sz="4" w:space="0" w:shadow="0" w:frame="0"/>
            </w:tcBorders>
            <w:vAlign w:val="bottom"/>
          </w:tcPr>
          <w:p>
            <w:pPr>
              <w:ind w:right="288"/>
              <w:jc w:val="right"/>
              <w:rPr>
                <w:sz w:val="16"/>
              </w:rPr>
            </w:pPr>
            <w:r>
              <w:rPr>
                <w:sz w:val="16"/>
              </w:rPr>
              <w:t>111,7</w:t>
            </w:r>
          </w:p>
        </w:tc>
        <w:tc>
          <w:tcPr>
            <w:tcW w:w="1985" w:type="dxa"/>
            <w:vAlign w:val="bottom"/>
          </w:tcPr>
          <w:p>
            <w:pPr>
              <w:ind w:right="288"/>
              <w:jc w:val="right"/>
              <w:rPr>
                <w:sz w:val="16"/>
              </w:rPr>
            </w:pPr>
            <w:r>
              <w:rPr>
                <w:sz w:val="16"/>
              </w:rPr>
              <w:t>112,6</w:t>
            </w:r>
          </w:p>
        </w:tc>
        <w:tc>
          <w:tcPr>
            <w:tcW w:w="1985" w:type="dxa"/>
            <w:vAlign w:val="bottom"/>
          </w:tcPr>
          <w:p>
            <w:pPr>
              <w:ind w:right="288"/>
              <w:jc w:val="right"/>
              <w:rPr>
                <w:sz w:val="16"/>
              </w:rPr>
            </w:pPr>
            <w:r>
              <w:rPr>
                <w:sz w:val="16"/>
              </w:rPr>
              <w:t>107,2</w:t>
            </w:r>
          </w:p>
        </w:tc>
      </w:tr>
      <w:tr>
        <w:trPr>
          <w:wAfter w:w="0" w:type="dxa"/>
        </w:trPr>
        <w:tc>
          <w:tcPr>
            <w:tcW w:w="10094" w:type="dxa"/>
            <w:gridSpan w:val="4"/>
          </w:tcPr>
          <w:p>
            <w:pPr>
              <w:spacing w:lineRule="auto" w:line="221" w:before="60" w:after="60"/>
              <w:jc w:val="center"/>
              <w:rPr>
                <w:sz w:val="16"/>
              </w:rPr>
            </w:pPr>
            <w:r>
              <w:rPr>
                <w:sz w:val="16"/>
              </w:rPr>
              <w:t>Retail trade, excluding motor vehicles trade (CA division 47)</w:t>
            </w:r>
          </w:p>
        </w:tc>
      </w:tr>
      <w:tr>
        <w:trPr>
          <w:wAfter w:w="0" w:type="dxa"/>
        </w:trPr>
        <w:tc>
          <w:tcPr>
            <w:tcW w:w="4139" w:type="dxa"/>
            <w:tcBorders>
              <w:right w:val="single" w:sz="4" w:space="0" w:shadow="0" w:frame="0"/>
            </w:tcBorders>
          </w:tcPr>
          <w:p>
            <w:pPr>
              <w:rPr>
                <w:sz w:val="16"/>
              </w:rPr>
            </w:pPr>
            <w:r>
              <w:rPr>
                <w:sz w:val="16"/>
              </w:rPr>
              <w:t>Number of stores/repair shops</w:t>
            </w:r>
          </w:p>
        </w:tc>
        <w:tc>
          <w:tcPr>
            <w:tcW w:w="1985" w:type="dxa"/>
            <w:tcBorders>
              <w:left w:val="single" w:sz="4" w:space="0" w:shadow="0" w:frame="0"/>
            </w:tcBorders>
          </w:tcPr>
          <w:p>
            <w:pPr>
              <w:ind w:right="284"/>
              <w:jc w:val="right"/>
              <w:rPr>
                <w:sz w:val="16"/>
              </w:rPr>
            </w:pPr>
            <w:r>
              <w:rPr>
                <w:sz w:val="16"/>
              </w:rPr>
              <w:t>15 189</w:t>
            </w:r>
          </w:p>
        </w:tc>
        <w:tc>
          <w:tcPr>
            <w:tcW w:w="1985" w:type="dxa"/>
          </w:tcPr>
          <w:p>
            <w:pPr>
              <w:ind w:right="284"/>
              <w:jc w:val="right"/>
              <w:rPr>
                <w:sz w:val="16"/>
              </w:rPr>
            </w:pPr>
            <w:r>
              <w:rPr>
                <w:sz w:val="16"/>
              </w:rPr>
              <w:t>8 711</w:t>
            </w:r>
          </w:p>
        </w:tc>
        <w:tc>
          <w:tcPr>
            <w:tcW w:w="1985" w:type="dxa"/>
          </w:tcPr>
          <w:p>
            <w:pPr>
              <w:ind w:right="284"/>
              <w:jc w:val="right"/>
              <w:rPr>
                <w:sz w:val="16"/>
              </w:rPr>
            </w:pPr>
            <w:r>
              <w:rPr>
                <w:sz w:val="16"/>
              </w:rPr>
              <w:t>6 478</w:t>
            </w:r>
          </w:p>
        </w:tc>
      </w:tr>
      <w:tr>
        <w:trPr>
          <w:wAfter w:w="0" w:type="dxa"/>
        </w:trPr>
        <w:tc>
          <w:tcPr>
            <w:tcW w:w="4139" w:type="dxa"/>
            <w:tcBorders>
              <w:right w:val="single" w:sz="4" w:space="0" w:shadow="0" w:frame="0"/>
            </w:tcBorders>
          </w:tcPr>
          <w:p>
            <w:pPr>
              <w:rPr>
                <w:sz w:val="16"/>
              </w:rPr>
            </w:pPr>
            <w:r>
              <w:rPr>
                <w:sz w:val="16"/>
              </w:rPr>
              <w:t>Number of employees</w:t>
            </w:r>
          </w:p>
        </w:tc>
        <w:tc>
          <w:tcPr>
            <w:tcW w:w="1985" w:type="dxa"/>
            <w:tcBorders>
              <w:left w:val="single" w:sz="4" w:space="0" w:shadow="0" w:frame="0"/>
            </w:tcBorders>
          </w:tcPr>
          <w:p>
            <w:pPr>
              <w:ind w:right="284"/>
              <w:jc w:val="right"/>
              <w:rPr>
                <w:sz w:val="16"/>
              </w:rPr>
            </w:pPr>
            <w:r>
              <w:rPr>
                <w:sz w:val="16"/>
              </w:rPr>
              <w:t>83 824</w:t>
            </w:r>
          </w:p>
        </w:tc>
        <w:tc>
          <w:tcPr>
            <w:tcW w:w="1985" w:type="dxa"/>
          </w:tcPr>
          <w:p>
            <w:pPr>
              <w:ind w:right="284"/>
              <w:jc w:val="right"/>
              <w:rPr>
                <w:sz w:val="16"/>
              </w:rPr>
            </w:pPr>
            <w:r>
              <w:rPr>
                <w:sz w:val="16"/>
              </w:rPr>
              <w:t>53 842</w:t>
            </w:r>
          </w:p>
        </w:tc>
        <w:tc>
          <w:tcPr>
            <w:tcW w:w="1985" w:type="dxa"/>
          </w:tcPr>
          <w:p>
            <w:pPr>
              <w:ind w:right="284"/>
              <w:jc w:val="right"/>
              <w:rPr>
                <w:sz w:val="16"/>
              </w:rPr>
            </w:pPr>
            <w:r>
              <w:rPr>
                <w:sz w:val="16"/>
              </w:rPr>
              <w:t>29 982</w:t>
            </w:r>
          </w:p>
        </w:tc>
      </w:tr>
      <w:tr>
        <w:trPr>
          <w:wAfter w:w="0" w:type="dxa"/>
        </w:trPr>
        <w:tc>
          <w:tcPr>
            <w:tcW w:w="4139" w:type="dxa"/>
            <w:tcBorders>
              <w:right w:val="single" w:sz="4" w:space="0" w:shadow="0" w:frame="0"/>
            </w:tcBorders>
          </w:tcPr>
          <w:p>
            <w:pPr>
              <w:rPr>
                <w:sz w:val="16"/>
              </w:rPr>
            </w:pPr>
            <w:r>
              <w:rPr>
                <w:sz w:val="16"/>
              </w:rPr>
              <w:t>Turnover (VAT included), in thous. RSD</w:t>
            </w:r>
          </w:p>
        </w:tc>
        <w:tc>
          <w:tcPr>
            <w:tcW w:w="1985" w:type="dxa"/>
            <w:tcBorders>
              <w:left w:val="single" w:sz="4" w:space="0" w:shadow="0" w:frame="0"/>
            </w:tcBorders>
          </w:tcPr>
          <w:p>
            <w:pPr>
              <w:ind w:right="284"/>
              <w:jc w:val="right"/>
              <w:rPr>
                <w:sz w:val="16"/>
              </w:rPr>
            </w:pPr>
          </w:p>
        </w:tc>
        <w:tc>
          <w:tcPr>
            <w:tcW w:w="1985" w:type="dxa"/>
          </w:tcPr>
          <w:p>
            <w:pPr>
              <w:ind w:right="284"/>
              <w:jc w:val="right"/>
              <w:rPr>
                <w:sz w:val="16"/>
              </w:rPr>
            </w:pPr>
          </w:p>
        </w:tc>
        <w:tc>
          <w:tcPr>
            <w:tcW w:w="1985" w:type="dxa"/>
          </w:tcPr>
          <w:p>
            <w:pPr>
              <w:ind w:right="284"/>
              <w:jc w:val="right"/>
              <w:rPr>
                <w:sz w:val="16"/>
              </w:rPr>
            </w:pPr>
          </w:p>
        </w:tc>
      </w:tr>
      <w:tr>
        <w:trPr>
          <w:wAfter w:w="0" w:type="dxa"/>
        </w:trPr>
        <w:tc>
          <w:tcPr>
            <w:tcW w:w="4139" w:type="dxa"/>
            <w:tcBorders>
              <w:right w:val="single" w:sz="4" w:space="0" w:shadow="0" w:frame="0"/>
            </w:tcBorders>
          </w:tcPr>
          <w:p>
            <w:pPr>
              <w:ind w:left="144"/>
              <w:jc w:val="both"/>
              <w:rPr>
                <w:sz w:val="16"/>
                <w:u w:val="single"/>
              </w:rPr>
            </w:pPr>
            <w:r>
              <w:rPr>
                <w:sz w:val="16"/>
              </w:rPr>
              <w:t>X–XII 2012</w:t>
            </w:r>
          </w:p>
        </w:tc>
        <w:tc>
          <w:tcPr>
            <w:tcW w:w="1985" w:type="dxa"/>
            <w:tcBorders>
              <w:left w:val="single" w:sz="4" w:space="0" w:shadow="0" w:frame="0"/>
            </w:tcBorders>
          </w:tcPr>
          <w:p>
            <w:pPr>
              <w:ind w:right="284"/>
              <w:jc w:val="right"/>
              <w:rPr>
                <w:sz w:val="16"/>
              </w:rPr>
            </w:pPr>
            <w:r>
              <w:rPr>
                <w:sz w:val="16"/>
              </w:rPr>
              <w:t>248 173 235</w:t>
            </w:r>
          </w:p>
        </w:tc>
        <w:tc>
          <w:tcPr>
            <w:tcW w:w="1985" w:type="dxa"/>
          </w:tcPr>
          <w:p>
            <w:pPr>
              <w:ind w:right="284"/>
              <w:jc w:val="right"/>
              <w:rPr>
                <w:sz w:val="16"/>
              </w:rPr>
            </w:pPr>
            <w:r>
              <w:rPr>
                <w:sz w:val="16"/>
              </w:rPr>
              <w:t>163 206 315</w:t>
            </w:r>
          </w:p>
        </w:tc>
        <w:tc>
          <w:tcPr>
            <w:tcW w:w="1985" w:type="dxa"/>
          </w:tcPr>
          <w:p>
            <w:pPr>
              <w:ind w:right="284"/>
              <w:jc w:val="right"/>
              <w:rPr>
                <w:sz w:val="16"/>
              </w:rPr>
            </w:pPr>
            <w:r>
              <w:rPr>
                <w:sz w:val="16"/>
              </w:rPr>
              <w:t>84 966 920</w:t>
            </w:r>
          </w:p>
        </w:tc>
      </w:tr>
      <w:tr>
        <w:trPr>
          <w:wAfter w:w="0" w:type="dxa"/>
        </w:trPr>
        <w:tc>
          <w:tcPr>
            <w:tcW w:w="4139" w:type="dxa"/>
            <w:tcBorders>
              <w:right w:val="single" w:sz="4" w:space="0" w:shadow="0" w:frame="0"/>
            </w:tcBorders>
          </w:tcPr>
          <w:p>
            <w:pPr>
              <w:ind w:left="144"/>
              <w:jc w:val="both"/>
              <w:rPr>
                <w:sz w:val="16"/>
                <w:u w:val="single"/>
              </w:rPr>
            </w:pPr>
            <w:r>
              <w:rPr>
                <w:sz w:val="16"/>
              </w:rPr>
              <w:t>I–XII 2012</w:t>
            </w:r>
          </w:p>
        </w:tc>
        <w:tc>
          <w:tcPr>
            <w:tcW w:w="1985" w:type="dxa"/>
            <w:tcBorders>
              <w:left w:val="single" w:sz="4" w:space="0" w:shadow="0" w:frame="0"/>
            </w:tcBorders>
            <w:vAlign w:val="bottom"/>
          </w:tcPr>
          <w:p>
            <w:pPr>
              <w:ind w:right="288"/>
              <w:jc w:val="right"/>
              <w:rPr>
                <w:sz w:val="16"/>
              </w:rPr>
            </w:pPr>
            <w:r>
              <w:rPr>
                <w:sz w:val="16"/>
              </w:rPr>
              <w:t>925 966 595</w:t>
            </w:r>
          </w:p>
        </w:tc>
        <w:tc>
          <w:tcPr>
            <w:tcW w:w="1985" w:type="dxa"/>
            <w:vAlign w:val="bottom"/>
          </w:tcPr>
          <w:p>
            <w:pPr>
              <w:ind w:right="288"/>
              <w:jc w:val="right"/>
              <w:rPr>
                <w:sz w:val="16"/>
              </w:rPr>
            </w:pPr>
            <w:r>
              <w:rPr>
                <w:sz w:val="16"/>
              </w:rPr>
              <w:t>602 498 646</w:t>
            </w:r>
          </w:p>
        </w:tc>
        <w:tc>
          <w:tcPr>
            <w:tcW w:w="1985" w:type="dxa"/>
            <w:vAlign w:val="bottom"/>
          </w:tcPr>
          <w:p>
            <w:pPr>
              <w:ind w:right="288"/>
              <w:jc w:val="right"/>
              <w:rPr>
                <w:sz w:val="16"/>
              </w:rPr>
            </w:pPr>
            <w:r>
              <w:rPr>
                <w:sz w:val="16"/>
              </w:rPr>
              <w:t>323 467 949</w:t>
            </w:r>
          </w:p>
        </w:tc>
      </w:tr>
      <w:tr>
        <w:trPr>
          <w:wAfter w:w="0" w:type="dxa"/>
        </w:trPr>
        <w:tc>
          <w:tcPr>
            <w:tcW w:w="4139" w:type="dxa"/>
            <w:tcBorders>
              <w:right w:val="single" w:sz="4" w:space="0" w:shadow="0" w:frame="0"/>
            </w:tcBorders>
          </w:tcPr>
          <w:p>
            <w:pPr>
              <w:rPr>
                <w:sz w:val="16"/>
              </w:rPr>
            </w:pPr>
            <w:r>
              <w:rPr>
                <w:sz w:val="16"/>
              </w:rPr>
              <w:t>Indices, current prices</w:t>
            </w:r>
          </w:p>
        </w:tc>
        <w:tc>
          <w:tcPr>
            <w:tcW w:w="1985" w:type="dxa"/>
            <w:tcBorders>
              <w:left w:val="single" w:sz="4" w:space="0" w:shadow="0" w:frame="0"/>
            </w:tcBorders>
          </w:tcPr>
          <w:p>
            <w:pPr>
              <w:ind w:right="284"/>
              <w:jc w:val="right"/>
              <w:rPr>
                <w:sz w:val="16"/>
              </w:rPr>
            </w:pPr>
          </w:p>
        </w:tc>
        <w:tc>
          <w:tcPr>
            <w:tcW w:w="1985" w:type="dxa"/>
          </w:tcPr>
          <w:p>
            <w:pPr>
              <w:ind w:right="284"/>
              <w:jc w:val="right"/>
              <w:rPr>
                <w:sz w:val="16"/>
              </w:rPr>
            </w:pPr>
          </w:p>
        </w:tc>
        <w:tc>
          <w:tcPr>
            <w:tcW w:w="1985" w:type="dxa"/>
          </w:tcPr>
          <w:p>
            <w:pPr>
              <w:ind w:right="284"/>
              <w:jc w:val="right"/>
              <w:rPr>
                <w:sz w:val="16"/>
              </w:rPr>
            </w:pPr>
          </w:p>
        </w:tc>
      </w:tr>
      <w:tr>
        <w:trPr>
          <w:wAfter w:w="0" w:type="dxa"/>
        </w:trPr>
        <w:tc>
          <w:tcPr>
            <w:tcW w:w="4139" w:type="dxa"/>
            <w:tcBorders>
              <w:right w:val="single" w:sz="4" w:space="0" w:shadow="0" w:frame="0"/>
            </w:tcBorders>
          </w:tcPr>
          <w:p>
            <w:pPr>
              <w:ind w:left="144"/>
              <w:jc w:val="both"/>
              <w:rPr>
                <w:sz w:val="16"/>
              </w:rPr>
            </w:pPr>
            <w:r>
              <w:rPr>
                <w:sz w:val="16"/>
              </w:rPr>
              <w:t xml:space="preserve">X–XII 2012 / X–XII 2011 </w:t>
            </w:r>
          </w:p>
        </w:tc>
        <w:tc>
          <w:tcPr>
            <w:tcW w:w="1985" w:type="dxa"/>
            <w:tcBorders>
              <w:left w:val="single" w:sz="4" w:space="0" w:shadow="0" w:frame="0"/>
            </w:tcBorders>
            <w:vAlign w:val="bottom"/>
          </w:tcPr>
          <w:p>
            <w:pPr>
              <w:ind w:right="288"/>
              <w:jc w:val="right"/>
              <w:rPr>
                <w:sz w:val="16"/>
              </w:rPr>
            </w:pPr>
            <w:r>
              <w:rPr>
                <w:sz w:val="16"/>
              </w:rPr>
              <w:t>100,2</w:t>
            </w:r>
          </w:p>
        </w:tc>
        <w:tc>
          <w:tcPr>
            <w:tcW w:w="1985" w:type="dxa"/>
            <w:vAlign w:val="bottom"/>
          </w:tcPr>
          <w:p>
            <w:pPr>
              <w:ind w:right="288"/>
              <w:jc w:val="right"/>
              <w:rPr>
                <w:sz w:val="16"/>
              </w:rPr>
            </w:pPr>
            <w:r>
              <w:rPr>
                <w:sz w:val="16"/>
              </w:rPr>
              <w:t>99,0</w:t>
            </w:r>
          </w:p>
        </w:tc>
        <w:tc>
          <w:tcPr>
            <w:tcW w:w="1985" w:type="dxa"/>
            <w:vAlign w:val="bottom"/>
          </w:tcPr>
          <w:p>
            <w:pPr>
              <w:ind w:right="288"/>
              <w:jc w:val="right"/>
              <w:rPr>
                <w:sz w:val="16"/>
              </w:rPr>
            </w:pPr>
            <w:r>
              <w:rPr>
                <w:sz w:val="16"/>
              </w:rPr>
              <w:t>102,6</w:t>
            </w:r>
          </w:p>
        </w:tc>
      </w:tr>
      <w:tr>
        <w:trPr>
          <w:wAfter w:w="0" w:type="dxa"/>
        </w:trPr>
        <w:tc>
          <w:tcPr>
            <w:tcW w:w="4139" w:type="dxa"/>
            <w:tcBorders>
              <w:right w:val="single" w:sz="4" w:space="0" w:shadow="0" w:frame="0"/>
            </w:tcBorders>
          </w:tcPr>
          <w:p>
            <w:pPr>
              <w:ind w:left="144"/>
              <w:jc w:val="both"/>
              <w:rPr>
                <w:sz w:val="16"/>
              </w:rPr>
            </w:pPr>
            <w:r>
              <w:rPr>
                <w:sz w:val="16"/>
              </w:rPr>
              <w:t xml:space="preserve">I–XII 2012 / I–XII 2011 </w:t>
            </w:r>
          </w:p>
        </w:tc>
        <w:tc>
          <w:tcPr>
            <w:tcW w:w="1985" w:type="dxa"/>
            <w:tcBorders>
              <w:left w:val="single" w:sz="4" w:space="0" w:shadow="0" w:frame="0"/>
            </w:tcBorders>
            <w:vAlign w:val="bottom"/>
          </w:tcPr>
          <w:p>
            <w:pPr>
              <w:ind w:right="288"/>
              <w:jc w:val="right"/>
              <w:rPr>
                <w:sz w:val="16"/>
              </w:rPr>
            </w:pPr>
            <w:r>
              <w:rPr>
                <w:sz w:val="16"/>
              </w:rPr>
              <w:t>102,2</w:t>
            </w:r>
          </w:p>
        </w:tc>
        <w:tc>
          <w:tcPr>
            <w:tcW w:w="1985" w:type="dxa"/>
            <w:vAlign w:val="bottom"/>
          </w:tcPr>
          <w:p>
            <w:pPr>
              <w:ind w:right="288"/>
              <w:jc w:val="right"/>
              <w:rPr>
                <w:sz w:val="16"/>
              </w:rPr>
            </w:pPr>
            <w:r>
              <w:rPr>
                <w:sz w:val="16"/>
              </w:rPr>
              <w:t>103,9</w:t>
            </w:r>
          </w:p>
        </w:tc>
        <w:tc>
          <w:tcPr>
            <w:tcW w:w="1985" w:type="dxa"/>
            <w:vAlign w:val="bottom"/>
          </w:tcPr>
          <w:p>
            <w:pPr>
              <w:ind w:right="288"/>
              <w:jc w:val="right"/>
              <w:rPr>
                <w:sz w:val="16"/>
              </w:rPr>
            </w:pPr>
            <w:r>
              <w:rPr>
                <w:sz w:val="16"/>
              </w:rPr>
              <w:t>99,3</w:t>
            </w:r>
          </w:p>
        </w:tc>
      </w:tr>
    </w:tbl>
    <w:p>
      <w:pPr>
        <w:pStyle w:val="P35"/>
        <w:spacing w:before="240"/>
        <w:jc w:val="center"/>
      </w:pPr>
      <w:r>
        <w:rPr>
          <w:b w:val="1"/>
        </w:rPr>
        <w:t>2. Turnover structure by trade divisions and product groupings in the Republic of Serbia</w:t>
      </w:r>
    </w:p>
    <w:p>
      <w:pPr>
        <w:pStyle w:val="P35"/>
        <w:spacing w:before="120"/>
        <w:rPr>
          <w:sz w:val="19"/>
        </w:rPr>
      </w:pPr>
      <w:r>
        <w:rPr>
          <w:sz w:val="19"/>
        </w:rPr>
        <w:t>2.1. Wholesale and retail trade and motor vehicles repair (CA division 45) in %</w:t>
      </w:r>
    </w:p>
    <w:tbl>
      <w:tblPr>
        <w:tblStyle w:val="T3"/>
        <w:tblW w:w="0" w:type="auto"/>
        <w:jc w:val="center"/>
        <w:tblBorders>
          <w:top w:val="none" w:sz="0"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autofit"/>
        <w:tblCellMar>
          <w:left w:w="28" w:type="dxa"/>
          <w:right w:w="28" w:type="dxa"/>
        </w:tblCellMar>
      </w:tblPr>
      <w:tblGrid/>
      <w:tr>
        <w:trPr>
          <w:wAfter w:w="0" w:type="dxa"/>
        </w:trPr>
        <w:tc>
          <w:tcPr>
            <w:tcW w:w="1701" w:type="dxa"/>
            <w:tcBorders>
              <w:top w:val="single" w:sz="4" w:space="0" w:shadow="0" w:frame="0"/>
              <w:bottom w:val="single" w:sz="4" w:space="0" w:shadow="0" w:frame="0"/>
              <w:right w:val="single" w:sz="4" w:space="0" w:shadow="0" w:frame="0"/>
            </w:tcBorders>
            <w:vAlign w:val="center"/>
          </w:tcPr>
          <w:p>
            <w:pPr>
              <w:pStyle w:val="P35"/>
              <w:spacing w:lineRule="auto" w:line="221" w:before="60"/>
              <w:jc w:val="center"/>
              <w:rPr>
                <w:sz w:val="16"/>
              </w:rPr>
            </w:pPr>
          </w:p>
        </w:tc>
        <w:tc>
          <w:tcPr>
            <w:tcW w:w="1701"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r>
              <w:rPr>
                <w:sz w:val="16"/>
              </w:rPr>
              <w:t>Total</w:t>
            </w:r>
          </w:p>
        </w:tc>
        <w:tc>
          <w:tcPr>
            <w:tcW w:w="1701"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r>
              <w:rPr>
                <w:sz w:val="16"/>
              </w:rPr>
              <w:t>Motor vehicles</w:t>
            </w:r>
          </w:p>
        </w:tc>
        <w:tc>
          <w:tcPr>
            <w:tcW w:w="1701"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r>
              <w:rPr>
                <w:sz w:val="16"/>
              </w:rPr>
              <w:t>Motor vehicles repair</w:t>
            </w:r>
          </w:p>
        </w:tc>
        <w:tc>
          <w:tcPr>
            <w:tcW w:w="1701"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r>
              <w:rPr>
                <w:sz w:val="16"/>
              </w:rPr>
              <w:t xml:space="preserve">Motor vehicles parts and accessories  </w:t>
            </w:r>
          </w:p>
        </w:tc>
        <w:tc>
          <w:tcPr>
            <w:tcW w:w="1701" w:type="dxa"/>
            <w:tcBorders>
              <w:top w:val="single" w:sz="4" w:space="0" w:shadow="0" w:frame="0"/>
              <w:left w:val="single" w:sz="4" w:space="0" w:shadow="0" w:frame="0"/>
              <w:bottom w:val="single" w:sz="4" w:space="0" w:shadow="0" w:frame="0"/>
            </w:tcBorders>
            <w:vAlign w:val="center"/>
          </w:tcPr>
          <w:p>
            <w:pPr>
              <w:spacing w:before="60"/>
              <w:jc w:val="center"/>
              <w:rPr>
                <w:sz w:val="16"/>
              </w:rPr>
            </w:pPr>
            <w:r>
              <w:rPr>
                <w:sz w:val="16"/>
              </w:rPr>
              <w:t>Motorcycles parts and accessories</w:t>
            </w:r>
          </w:p>
        </w:tc>
      </w:tr>
      <w:tr>
        <w:trPr>
          <w:wAfter w:w="0" w:type="dxa"/>
        </w:trPr>
        <w:tc>
          <w:tcPr>
            <w:tcW w:w="1701" w:type="dxa"/>
            <w:tcBorders>
              <w:right w:val="single" w:sz="4" w:space="0" w:shadow="0" w:frame="0"/>
            </w:tcBorders>
          </w:tcPr>
          <w:p>
            <w:pPr>
              <w:pStyle w:val="P35"/>
              <w:spacing w:lineRule="auto" w:line="221" w:before="60"/>
              <w:jc w:val="center"/>
              <w:rPr>
                <w:sz w:val="8"/>
              </w:rPr>
            </w:pPr>
          </w:p>
        </w:tc>
        <w:tc>
          <w:tcPr>
            <w:tcW w:w="1701" w:type="dxa"/>
            <w:tcBorders>
              <w:top w:val="single" w:sz="4" w:space="0" w:shadow="0" w:frame="0"/>
              <w:left w:val="single" w:sz="4" w:space="0" w:shadow="0" w:frame="0"/>
            </w:tcBorders>
          </w:tcPr>
          <w:p>
            <w:pPr>
              <w:pStyle w:val="P35"/>
              <w:spacing w:lineRule="auto" w:line="221" w:before="60"/>
              <w:ind w:right="144"/>
              <w:jc w:val="right"/>
              <w:rPr>
                <w:b w:val="1"/>
                <w:sz w:val="8"/>
              </w:rPr>
            </w:pPr>
          </w:p>
        </w:tc>
        <w:tc>
          <w:tcPr>
            <w:tcW w:w="1701" w:type="dxa"/>
          </w:tcPr>
          <w:p>
            <w:pPr>
              <w:pStyle w:val="P35"/>
              <w:spacing w:lineRule="auto" w:line="221" w:before="60"/>
              <w:ind w:right="144"/>
              <w:jc w:val="right"/>
              <w:rPr>
                <w:sz w:val="8"/>
              </w:rPr>
            </w:pPr>
          </w:p>
        </w:tc>
        <w:tc>
          <w:tcPr>
            <w:tcW w:w="1701" w:type="dxa"/>
          </w:tcPr>
          <w:p>
            <w:pPr>
              <w:pStyle w:val="P35"/>
              <w:spacing w:lineRule="auto" w:line="221" w:before="60"/>
              <w:ind w:right="144"/>
              <w:jc w:val="right"/>
              <w:rPr>
                <w:sz w:val="8"/>
              </w:rPr>
            </w:pPr>
          </w:p>
        </w:tc>
        <w:tc>
          <w:tcPr>
            <w:tcW w:w="1701" w:type="dxa"/>
          </w:tcPr>
          <w:p>
            <w:pPr>
              <w:pStyle w:val="P35"/>
              <w:spacing w:lineRule="auto" w:line="221" w:before="60"/>
              <w:ind w:right="144"/>
              <w:jc w:val="right"/>
              <w:rPr>
                <w:sz w:val="8"/>
              </w:rPr>
            </w:pPr>
          </w:p>
        </w:tc>
        <w:tc>
          <w:tcPr>
            <w:tcW w:w="1701" w:type="dxa"/>
          </w:tcPr>
          <w:p>
            <w:pPr>
              <w:pStyle w:val="P35"/>
              <w:spacing w:lineRule="auto" w:line="221" w:before="60"/>
              <w:ind w:right="144"/>
              <w:jc w:val="right"/>
              <w:rPr>
                <w:sz w:val="8"/>
              </w:rPr>
            </w:pPr>
          </w:p>
        </w:tc>
      </w:tr>
      <w:tr>
        <w:trPr>
          <w:wAfter w:w="0" w:type="dxa"/>
        </w:trPr>
        <w:tc>
          <w:tcPr>
            <w:tcW w:w="1701" w:type="dxa"/>
            <w:tcBorders>
              <w:right w:val="single" w:sz="4" w:space="0" w:shadow="0" w:frame="0"/>
            </w:tcBorders>
          </w:tcPr>
          <w:p>
            <w:pPr>
              <w:pStyle w:val="P35"/>
              <w:jc w:val="center"/>
              <w:rPr>
                <w:sz w:val="16"/>
              </w:rPr>
            </w:pPr>
            <w:r>
              <w:rPr>
                <w:sz w:val="16"/>
              </w:rPr>
              <w:t xml:space="preserve">X–XII  2012</w:t>
            </w:r>
          </w:p>
        </w:tc>
        <w:tc>
          <w:tcPr>
            <w:tcW w:w="1701" w:type="dxa"/>
            <w:tcBorders>
              <w:left w:val="single" w:sz="4" w:space="0" w:shadow="0" w:frame="0"/>
            </w:tcBorders>
          </w:tcPr>
          <w:p>
            <w:pPr>
              <w:pStyle w:val="P35"/>
              <w:ind w:right="284"/>
              <w:jc w:val="right"/>
              <w:rPr>
                <w:sz w:val="16"/>
              </w:rPr>
            </w:pPr>
            <w:r>
              <w:rPr>
                <w:b w:val="1"/>
                <w:sz w:val="16"/>
              </w:rPr>
              <w:t>100</w:t>
            </w:r>
          </w:p>
        </w:tc>
        <w:tc>
          <w:tcPr>
            <w:tcW w:w="1701" w:type="dxa"/>
            <w:vAlign w:val="bottom"/>
          </w:tcPr>
          <w:p>
            <w:pPr>
              <w:ind w:right="288"/>
              <w:jc w:val="right"/>
              <w:rPr>
                <w:sz w:val="16"/>
              </w:rPr>
            </w:pPr>
            <w:r>
              <w:rPr>
                <w:sz w:val="16"/>
              </w:rPr>
              <w:t>40,0</w:t>
            </w:r>
          </w:p>
        </w:tc>
        <w:tc>
          <w:tcPr>
            <w:tcW w:w="1701" w:type="dxa"/>
            <w:vAlign w:val="bottom"/>
          </w:tcPr>
          <w:p>
            <w:pPr>
              <w:ind w:right="288"/>
              <w:jc w:val="right"/>
              <w:rPr>
                <w:sz w:val="16"/>
              </w:rPr>
            </w:pPr>
            <w:r>
              <w:rPr>
                <w:sz w:val="16"/>
              </w:rPr>
              <w:t>7,5</w:t>
            </w:r>
          </w:p>
        </w:tc>
        <w:tc>
          <w:tcPr>
            <w:tcW w:w="1701" w:type="dxa"/>
            <w:vAlign w:val="bottom"/>
          </w:tcPr>
          <w:p>
            <w:pPr>
              <w:ind w:right="288"/>
              <w:jc w:val="right"/>
              <w:rPr>
                <w:sz w:val="16"/>
              </w:rPr>
            </w:pPr>
            <w:r>
              <w:rPr>
                <w:sz w:val="16"/>
              </w:rPr>
              <w:t>51,7</w:t>
            </w:r>
          </w:p>
        </w:tc>
        <w:tc>
          <w:tcPr>
            <w:tcW w:w="1701" w:type="dxa"/>
            <w:vAlign w:val="bottom"/>
          </w:tcPr>
          <w:p>
            <w:pPr>
              <w:ind w:right="288"/>
              <w:jc w:val="right"/>
              <w:rPr>
                <w:sz w:val="16"/>
              </w:rPr>
            </w:pPr>
            <w:r>
              <w:rPr>
                <w:sz w:val="16"/>
              </w:rPr>
              <w:t>0,8</w:t>
            </w:r>
          </w:p>
        </w:tc>
      </w:tr>
    </w:tbl>
    <w:p>
      <w:pPr>
        <w:pStyle w:val="P35"/>
        <w:spacing w:before="120"/>
        <w:rPr>
          <w:sz w:val="19"/>
        </w:rPr>
      </w:pPr>
      <w:r>
        <w:rPr>
          <w:sz w:val="19"/>
        </w:rPr>
        <w:t>2.2. Wholesale trade, except of motor vehicles trade (CA division 46) in %</w:t>
      </w:r>
    </w:p>
    <w:tbl>
      <w:tblPr>
        <w:tblStyle w:val="T3"/>
        <w:tblW w:w="0" w:type="auto"/>
        <w:jc w:val="center"/>
        <w:tblBorders>
          <w:top w:val="none" w:sz="0"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autofit"/>
        <w:tblCellMar>
          <w:left w:w="28" w:type="dxa"/>
          <w:right w:w="28" w:type="dxa"/>
        </w:tblCellMar>
      </w:tblPr>
      <w:tblGrid/>
      <w:tr>
        <w:trPr>
          <w:wAfter w:w="0" w:type="dxa"/>
        </w:trPr>
        <w:tc>
          <w:tcPr>
            <w:tcW w:w="996" w:type="dxa"/>
            <w:tcBorders>
              <w:top w:val="single" w:sz="4" w:space="0" w:shadow="0" w:frame="0"/>
              <w:bottom w:val="single" w:sz="4" w:space="0" w:shadow="0" w:frame="0"/>
              <w:right w:val="single" w:sz="4" w:space="0" w:shadow="0" w:frame="0"/>
            </w:tcBorders>
            <w:vAlign w:val="center"/>
          </w:tcPr>
          <w:p>
            <w:pPr>
              <w:pStyle w:val="P35"/>
              <w:spacing w:lineRule="auto" w:line="221"/>
              <w:jc w:val="center"/>
              <w:rPr>
                <w:sz w:val="16"/>
              </w:rPr>
            </w:pPr>
          </w:p>
        </w:tc>
        <w:tc>
          <w:tcPr>
            <w:tcW w:w="998"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r>
              <w:rPr>
                <w:sz w:val="16"/>
              </w:rPr>
              <w:t xml:space="preserve">Total </w:t>
            </w:r>
          </w:p>
        </w:tc>
        <w:tc>
          <w:tcPr>
            <w:tcW w:w="1014"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r>
              <w:rPr>
                <w:sz w:val="16"/>
              </w:rPr>
              <w:t xml:space="preserve">Agricultural raw materials and live animals </w:t>
            </w:r>
          </w:p>
        </w:tc>
        <w:tc>
          <w:tcPr>
            <w:tcW w:w="1012"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r>
              <w:rPr>
                <w:sz w:val="16"/>
              </w:rPr>
              <w:t xml:space="preserve">Food products, beverages and tobacco </w:t>
            </w:r>
          </w:p>
        </w:tc>
        <w:tc>
          <w:tcPr>
            <w:tcW w:w="1012"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r>
              <w:rPr>
                <w:sz w:val="16"/>
              </w:rPr>
              <w:t xml:space="preserve">Household equipment  </w:t>
            </w:r>
          </w:p>
        </w:tc>
        <w:tc>
          <w:tcPr>
            <w:tcW w:w="1204"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r>
              <w:rPr>
                <w:sz w:val="16"/>
              </w:rPr>
              <w:t xml:space="preserve">Pharmaceutical, beauty and personal hygiene products </w:t>
            </w:r>
          </w:p>
        </w:tc>
        <w:tc>
          <w:tcPr>
            <w:tcW w:w="1012"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r>
              <w:rPr>
                <w:sz w:val="16"/>
              </w:rPr>
              <w:t>Machines, appliances and accessories</w:t>
            </w:r>
          </w:p>
        </w:tc>
        <w:tc>
          <w:tcPr>
            <w:tcW w:w="999"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r>
              <w:rPr>
                <w:sz w:val="16"/>
              </w:rPr>
              <w:t xml:space="preserve">Solid, liquid and gas fuels </w:t>
            </w:r>
          </w:p>
        </w:tc>
        <w:tc>
          <w:tcPr>
            <w:tcW w:w="1008"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r>
              <w:rPr>
                <w:sz w:val="16"/>
              </w:rPr>
              <w:t xml:space="preserve">Chemical products </w:t>
            </w:r>
          </w:p>
        </w:tc>
        <w:tc>
          <w:tcPr>
            <w:tcW w:w="1006" w:type="dxa"/>
            <w:tcBorders>
              <w:top w:val="single" w:sz="4" w:space="0" w:shadow="0" w:frame="0"/>
              <w:left w:val="single" w:sz="4" w:space="0" w:shadow="0" w:frame="0"/>
              <w:bottom w:val="single" w:sz="4" w:space="0" w:shadow="0" w:frame="0"/>
            </w:tcBorders>
            <w:vAlign w:val="center"/>
          </w:tcPr>
          <w:p>
            <w:pPr>
              <w:jc w:val="center"/>
              <w:rPr>
                <w:sz w:val="16"/>
              </w:rPr>
            </w:pPr>
            <w:r>
              <w:rPr>
                <w:sz w:val="16"/>
              </w:rPr>
              <w:t xml:space="preserve">Other non-food products </w:t>
            </w:r>
          </w:p>
        </w:tc>
      </w:tr>
      <w:tr>
        <w:trPr>
          <w:wAfter w:w="0" w:type="dxa"/>
        </w:trPr>
        <w:tc>
          <w:tcPr>
            <w:tcW w:w="996" w:type="dxa"/>
            <w:tcBorders>
              <w:top w:val="single" w:sz="4" w:space="0" w:shadow="0" w:frame="0"/>
              <w:right w:val="single" w:sz="4" w:space="0" w:shadow="0" w:frame="0"/>
            </w:tcBorders>
          </w:tcPr>
          <w:p>
            <w:pPr>
              <w:pStyle w:val="P35"/>
              <w:spacing w:lineRule="auto" w:line="221" w:before="60" w:after="60"/>
              <w:jc w:val="center"/>
              <w:rPr>
                <w:sz w:val="16"/>
              </w:rPr>
            </w:pPr>
          </w:p>
        </w:tc>
        <w:tc>
          <w:tcPr>
            <w:tcW w:w="998" w:type="dxa"/>
            <w:tcBorders>
              <w:top w:val="single" w:sz="4" w:space="0" w:shadow="0" w:frame="0"/>
              <w:left w:val="single" w:sz="4" w:space="0" w:shadow="0" w:frame="0"/>
            </w:tcBorders>
          </w:tcPr>
          <w:p>
            <w:pPr>
              <w:pStyle w:val="P35"/>
              <w:spacing w:lineRule="auto" w:line="221" w:before="60" w:after="60"/>
              <w:jc w:val="center"/>
              <w:rPr>
                <w:sz w:val="16"/>
              </w:rPr>
            </w:pPr>
          </w:p>
        </w:tc>
        <w:tc>
          <w:tcPr>
            <w:tcW w:w="1014" w:type="dxa"/>
            <w:tcBorders>
              <w:top w:val="single" w:sz="4" w:space="0" w:shadow="0" w:frame="0"/>
            </w:tcBorders>
          </w:tcPr>
          <w:p>
            <w:pPr>
              <w:pStyle w:val="P35"/>
              <w:spacing w:lineRule="auto" w:line="221" w:before="60" w:after="60"/>
              <w:jc w:val="center"/>
              <w:rPr>
                <w:sz w:val="16"/>
              </w:rPr>
            </w:pPr>
          </w:p>
        </w:tc>
        <w:tc>
          <w:tcPr>
            <w:tcW w:w="1012" w:type="dxa"/>
            <w:tcBorders>
              <w:top w:val="single" w:sz="4" w:space="0" w:shadow="0" w:frame="0"/>
            </w:tcBorders>
          </w:tcPr>
          <w:p>
            <w:pPr>
              <w:pStyle w:val="P35"/>
              <w:spacing w:lineRule="auto" w:line="221" w:before="60" w:after="60"/>
              <w:jc w:val="center"/>
              <w:rPr>
                <w:sz w:val="16"/>
              </w:rPr>
            </w:pPr>
          </w:p>
        </w:tc>
        <w:tc>
          <w:tcPr>
            <w:tcW w:w="1012" w:type="dxa"/>
            <w:tcBorders>
              <w:top w:val="single" w:sz="4" w:space="0" w:shadow="0" w:frame="0"/>
            </w:tcBorders>
          </w:tcPr>
          <w:p>
            <w:pPr>
              <w:pStyle w:val="P35"/>
              <w:spacing w:lineRule="auto" w:line="221" w:before="60" w:after="60"/>
              <w:jc w:val="center"/>
              <w:rPr>
                <w:sz w:val="16"/>
              </w:rPr>
            </w:pPr>
          </w:p>
        </w:tc>
        <w:tc>
          <w:tcPr>
            <w:tcW w:w="1204" w:type="dxa"/>
            <w:tcBorders>
              <w:top w:val="single" w:sz="4" w:space="0" w:shadow="0" w:frame="0"/>
            </w:tcBorders>
          </w:tcPr>
          <w:p>
            <w:pPr>
              <w:pStyle w:val="P35"/>
              <w:spacing w:lineRule="auto" w:line="221" w:before="60" w:after="60"/>
              <w:jc w:val="center"/>
              <w:rPr>
                <w:sz w:val="16"/>
              </w:rPr>
            </w:pPr>
          </w:p>
        </w:tc>
        <w:tc>
          <w:tcPr>
            <w:tcW w:w="1012" w:type="dxa"/>
            <w:tcBorders>
              <w:top w:val="single" w:sz="4" w:space="0" w:shadow="0" w:frame="0"/>
            </w:tcBorders>
          </w:tcPr>
          <w:p>
            <w:pPr>
              <w:pStyle w:val="P35"/>
              <w:spacing w:lineRule="auto" w:line="221" w:before="60" w:after="60"/>
              <w:jc w:val="center"/>
              <w:rPr>
                <w:sz w:val="16"/>
              </w:rPr>
            </w:pPr>
          </w:p>
        </w:tc>
        <w:tc>
          <w:tcPr>
            <w:tcW w:w="999" w:type="dxa"/>
            <w:tcBorders>
              <w:top w:val="single" w:sz="4" w:space="0" w:shadow="0" w:frame="0"/>
            </w:tcBorders>
          </w:tcPr>
          <w:p>
            <w:pPr>
              <w:pStyle w:val="P35"/>
              <w:spacing w:lineRule="auto" w:line="221" w:before="60" w:after="60"/>
              <w:jc w:val="center"/>
              <w:rPr>
                <w:sz w:val="16"/>
              </w:rPr>
            </w:pPr>
          </w:p>
        </w:tc>
        <w:tc>
          <w:tcPr>
            <w:tcW w:w="1008" w:type="dxa"/>
            <w:tcBorders>
              <w:top w:val="single" w:sz="4" w:space="0" w:shadow="0" w:frame="0"/>
            </w:tcBorders>
          </w:tcPr>
          <w:p>
            <w:pPr>
              <w:pStyle w:val="P35"/>
              <w:spacing w:lineRule="auto" w:line="221" w:before="60" w:after="60"/>
              <w:jc w:val="center"/>
              <w:rPr>
                <w:sz w:val="16"/>
              </w:rPr>
            </w:pPr>
          </w:p>
        </w:tc>
        <w:tc>
          <w:tcPr>
            <w:tcW w:w="1006" w:type="dxa"/>
            <w:tcBorders>
              <w:top w:val="single" w:sz="4" w:space="0" w:shadow="0" w:frame="0"/>
            </w:tcBorders>
          </w:tcPr>
          <w:p>
            <w:pPr>
              <w:pStyle w:val="P35"/>
              <w:spacing w:lineRule="auto" w:line="221" w:before="60" w:after="60"/>
              <w:jc w:val="center"/>
              <w:rPr>
                <w:sz w:val="16"/>
              </w:rPr>
            </w:pPr>
          </w:p>
        </w:tc>
      </w:tr>
      <w:tr>
        <w:trPr>
          <w:wAfter w:w="0" w:type="dxa"/>
        </w:trPr>
        <w:tc>
          <w:tcPr>
            <w:tcW w:w="996" w:type="dxa"/>
            <w:tcBorders>
              <w:right w:val="single" w:sz="4" w:space="0" w:shadow="0" w:frame="0"/>
            </w:tcBorders>
          </w:tcPr>
          <w:p>
            <w:pPr>
              <w:pStyle w:val="P35"/>
              <w:jc w:val="center"/>
              <w:rPr>
                <w:sz w:val="16"/>
              </w:rPr>
            </w:pPr>
            <w:r>
              <w:rPr>
                <w:sz w:val="16"/>
              </w:rPr>
              <w:t xml:space="preserve">X–XII  2012</w:t>
            </w:r>
          </w:p>
        </w:tc>
        <w:tc>
          <w:tcPr>
            <w:tcW w:w="998" w:type="dxa"/>
            <w:tcBorders>
              <w:left w:val="single" w:sz="4" w:space="0" w:shadow="0" w:frame="0"/>
            </w:tcBorders>
          </w:tcPr>
          <w:p>
            <w:pPr>
              <w:pStyle w:val="P35"/>
              <w:ind w:right="227"/>
              <w:jc w:val="right"/>
              <w:rPr>
                <w:sz w:val="16"/>
              </w:rPr>
            </w:pPr>
            <w:r>
              <w:rPr>
                <w:b w:val="1"/>
                <w:sz w:val="16"/>
              </w:rPr>
              <w:t>100</w:t>
            </w:r>
          </w:p>
        </w:tc>
        <w:tc>
          <w:tcPr>
            <w:tcW w:w="1014" w:type="dxa"/>
            <w:vAlign w:val="bottom"/>
          </w:tcPr>
          <w:p>
            <w:pPr>
              <w:ind w:right="230"/>
              <w:jc w:val="right"/>
              <w:rPr>
                <w:sz w:val="16"/>
              </w:rPr>
            </w:pPr>
            <w:r>
              <w:rPr>
                <w:sz w:val="16"/>
              </w:rPr>
              <w:t>7,7</w:t>
            </w:r>
          </w:p>
        </w:tc>
        <w:tc>
          <w:tcPr>
            <w:tcW w:w="1012" w:type="dxa"/>
            <w:vAlign w:val="bottom"/>
          </w:tcPr>
          <w:p>
            <w:pPr>
              <w:ind w:right="230"/>
              <w:jc w:val="right"/>
              <w:rPr>
                <w:sz w:val="16"/>
              </w:rPr>
            </w:pPr>
            <w:r>
              <w:rPr>
                <w:sz w:val="16"/>
              </w:rPr>
              <w:t>25,8</w:t>
            </w:r>
          </w:p>
        </w:tc>
        <w:tc>
          <w:tcPr>
            <w:tcW w:w="1012" w:type="dxa"/>
            <w:vAlign w:val="bottom"/>
          </w:tcPr>
          <w:p>
            <w:pPr>
              <w:ind w:right="230"/>
              <w:jc w:val="right"/>
              <w:rPr>
                <w:sz w:val="16"/>
              </w:rPr>
            </w:pPr>
            <w:r>
              <w:rPr>
                <w:sz w:val="16"/>
              </w:rPr>
              <w:t>3,4</w:t>
            </w:r>
          </w:p>
        </w:tc>
        <w:tc>
          <w:tcPr>
            <w:tcW w:w="1204" w:type="dxa"/>
            <w:vAlign w:val="bottom"/>
          </w:tcPr>
          <w:p>
            <w:pPr>
              <w:ind w:right="230"/>
              <w:jc w:val="right"/>
              <w:rPr>
                <w:sz w:val="16"/>
              </w:rPr>
            </w:pPr>
            <w:r>
              <w:rPr>
                <w:sz w:val="16"/>
              </w:rPr>
              <w:t>9,6</w:t>
            </w:r>
          </w:p>
        </w:tc>
        <w:tc>
          <w:tcPr>
            <w:tcW w:w="1012" w:type="dxa"/>
            <w:vAlign w:val="bottom"/>
          </w:tcPr>
          <w:p>
            <w:pPr>
              <w:ind w:right="230"/>
              <w:jc w:val="right"/>
              <w:rPr>
                <w:sz w:val="16"/>
              </w:rPr>
            </w:pPr>
            <w:r>
              <w:rPr>
                <w:sz w:val="16"/>
              </w:rPr>
              <w:t>4,5</w:t>
            </w:r>
          </w:p>
        </w:tc>
        <w:tc>
          <w:tcPr>
            <w:tcW w:w="999" w:type="dxa"/>
            <w:vAlign w:val="bottom"/>
          </w:tcPr>
          <w:p>
            <w:pPr>
              <w:ind w:right="230"/>
              <w:jc w:val="right"/>
              <w:rPr>
                <w:sz w:val="16"/>
              </w:rPr>
            </w:pPr>
            <w:r>
              <w:rPr>
                <w:sz w:val="16"/>
              </w:rPr>
              <w:t>19,7</w:t>
            </w:r>
          </w:p>
        </w:tc>
        <w:tc>
          <w:tcPr>
            <w:tcW w:w="1008" w:type="dxa"/>
            <w:vAlign w:val="bottom"/>
          </w:tcPr>
          <w:p>
            <w:pPr>
              <w:ind w:right="230"/>
              <w:jc w:val="right"/>
              <w:rPr>
                <w:sz w:val="16"/>
              </w:rPr>
            </w:pPr>
            <w:r>
              <w:rPr>
                <w:sz w:val="16"/>
              </w:rPr>
              <w:t>4,9</w:t>
            </w:r>
          </w:p>
        </w:tc>
        <w:tc>
          <w:tcPr>
            <w:tcW w:w="1006" w:type="dxa"/>
            <w:vAlign w:val="bottom"/>
          </w:tcPr>
          <w:p>
            <w:pPr>
              <w:ind w:right="230"/>
              <w:jc w:val="right"/>
              <w:rPr>
                <w:sz w:val="16"/>
              </w:rPr>
            </w:pPr>
            <w:r>
              <w:rPr>
                <w:sz w:val="16"/>
              </w:rPr>
              <w:t>24,4</w:t>
            </w:r>
          </w:p>
        </w:tc>
      </w:tr>
    </w:tbl>
    <w:p>
      <w:pPr>
        <w:pStyle w:val="P16"/>
        <w:spacing w:before="120" w:after="40"/>
        <w:ind w:left="0"/>
        <w:rPr>
          <w:sz w:val="19"/>
        </w:rPr>
      </w:pPr>
      <w:r>
        <w:rPr>
          <w:sz w:val="19"/>
        </w:rPr>
        <w:t>2.3. Retail trade, except of motor vehicles trade (CA division 47)</w:t>
      </w:r>
    </w:p>
    <w:tbl>
      <w:tblPr>
        <w:tblStyle w:val="T3"/>
        <w:tblW w:w="0" w:type="auto"/>
        <w:tblLayout w:type="autofit"/>
        <w:tblCellMar>
          <w:left w:w="28" w:type="dxa"/>
          <w:right w:w="28" w:type="dxa"/>
        </w:tblCellMar>
      </w:tblPr>
      <w:tblGrid/>
      <w:tr>
        <w:trPr>
          <w:wAfter w:w="0" w:type="dxa"/>
          <w:trHeight w:hRule="atLeast" w:val="953"/>
        </w:trPr>
        <w:tc>
          <w:tcPr>
            <w:tcW w:w="988" w:type="dxa"/>
            <w:tcBorders>
              <w:top w:val="single" w:sz="4" w:space="0" w:shadow="0" w:frame="0"/>
              <w:left w:val="none" w:sz="0" w:space="0" w:shadow="0" w:frame="0"/>
              <w:bottom w:val="single" w:sz="4" w:space="0" w:shadow="0" w:frame="0"/>
              <w:right w:val="single" w:sz="4" w:space="0" w:shadow="0" w:frame="0"/>
            </w:tcBorders>
            <w:vAlign w:val="center"/>
          </w:tcPr>
          <w:p>
            <w:pPr>
              <w:pStyle w:val="P35"/>
              <w:spacing w:lineRule="auto" w:line="228" w:before="40"/>
              <w:jc w:val="center"/>
              <w:rPr>
                <w:sz w:val="16"/>
              </w:rPr>
            </w:pPr>
          </w:p>
        </w:tc>
        <w:tc>
          <w:tcPr>
            <w:tcW w:w="997"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28" w:before="40"/>
              <w:jc w:val="center"/>
              <w:rPr>
                <w:sz w:val="16"/>
              </w:rPr>
            </w:pPr>
            <w:r>
              <w:rPr>
                <w:sz w:val="16"/>
              </w:rPr>
              <w:t>Total</w:t>
            </w:r>
          </w:p>
        </w:tc>
        <w:tc>
          <w:tcPr>
            <w:tcW w:w="1011" w:type="dxa"/>
            <w:tcBorders>
              <w:left w:val="single" w:sz="4" w:space="0" w:shadow="0" w:frame="0"/>
              <w:bottom w:val="single" w:sz="4" w:space="0" w:shadow="0" w:frame="0"/>
            </w:tcBorders>
            <w:vAlign w:val="center"/>
          </w:tcPr>
          <w:p>
            <w:pPr>
              <w:spacing w:lineRule="auto" w:line="228" w:before="40"/>
              <w:jc w:val="center"/>
              <w:rPr>
                <w:sz w:val="16"/>
              </w:rPr>
            </w:pPr>
            <w:r>
              <w:rPr>
                <w:sz w:val="16"/>
              </w:rPr>
              <w:t>Food products and alcoholic beverages</w:t>
            </w:r>
          </w:p>
        </w:tc>
        <w:tc>
          <w:tcPr>
            <w:tcW w:w="1005" w:type="dxa"/>
            <w:tcBorders>
              <w:bottom w:val="single" w:sz="4" w:space="0" w:shadow="0" w:frame="0"/>
            </w:tcBorders>
            <w:vAlign w:val="center"/>
          </w:tcPr>
          <w:p>
            <w:pPr>
              <w:spacing w:lineRule="auto" w:line="228" w:before="40"/>
              <w:jc w:val="center"/>
              <w:rPr>
                <w:sz w:val="16"/>
              </w:rPr>
            </w:pPr>
            <w:r>
              <w:rPr>
                <w:sz w:val="16"/>
              </w:rPr>
              <w:t>Tobacco</w:t>
            </w:r>
          </w:p>
        </w:tc>
        <w:tc>
          <w:tcPr>
            <w:tcW w:w="1011" w:type="dxa"/>
            <w:tcBorders>
              <w:bottom w:val="single" w:sz="4" w:space="0" w:shadow="0" w:frame="0"/>
            </w:tcBorders>
            <w:vAlign w:val="center"/>
          </w:tcPr>
          <w:p>
            <w:pPr>
              <w:spacing w:lineRule="auto" w:line="228" w:before="40"/>
              <w:jc w:val="center"/>
              <w:rPr>
                <w:sz w:val="16"/>
              </w:rPr>
            </w:pPr>
            <w:r>
              <w:rPr>
                <w:sz w:val="16"/>
              </w:rPr>
              <w:t>ICT equipment</w:t>
            </w:r>
          </w:p>
        </w:tc>
        <w:tc>
          <w:tcPr>
            <w:tcW w:w="1012" w:type="dxa"/>
            <w:tcBorders>
              <w:bottom w:val="single" w:sz="4" w:space="0" w:shadow="0" w:frame="0"/>
            </w:tcBorders>
            <w:vAlign w:val="center"/>
          </w:tcPr>
          <w:p>
            <w:pPr>
              <w:spacing w:lineRule="auto" w:line="228" w:before="40"/>
              <w:jc w:val="center"/>
              <w:rPr>
                <w:sz w:val="16"/>
              </w:rPr>
            </w:pPr>
            <w:r>
              <w:rPr>
                <w:sz w:val="16"/>
              </w:rPr>
              <w:t>Household goods</w:t>
            </w:r>
          </w:p>
        </w:tc>
        <w:tc>
          <w:tcPr>
            <w:tcW w:w="1012" w:type="dxa"/>
            <w:tcBorders>
              <w:bottom w:val="single" w:sz="4" w:space="0" w:shadow="0" w:frame="0"/>
            </w:tcBorders>
            <w:vAlign w:val="center"/>
          </w:tcPr>
          <w:p>
            <w:pPr>
              <w:spacing w:lineRule="auto" w:line="228" w:before="40"/>
              <w:jc w:val="center"/>
              <w:rPr>
                <w:sz w:val="16"/>
              </w:rPr>
            </w:pPr>
            <w:r>
              <w:rPr>
                <w:sz w:val="16"/>
              </w:rPr>
              <w:t>Recreation and culture goods</w:t>
            </w:r>
          </w:p>
        </w:tc>
        <w:tc>
          <w:tcPr>
            <w:tcW w:w="1204" w:type="dxa"/>
            <w:tcBorders>
              <w:bottom w:val="single" w:sz="4" w:space="0" w:shadow="0" w:frame="0"/>
            </w:tcBorders>
            <w:vAlign w:val="center"/>
          </w:tcPr>
          <w:p>
            <w:pPr>
              <w:spacing w:lineRule="auto" w:line="228" w:before="40"/>
              <w:jc w:val="center"/>
              <w:rPr>
                <w:sz w:val="16"/>
              </w:rPr>
            </w:pPr>
            <w:r>
              <w:rPr>
                <w:sz w:val="16"/>
              </w:rPr>
              <w:t>Pharmaceutical, beauty and personal hygiene products</w:t>
            </w:r>
          </w:p>
        </w:tc>
        <w:tc>
          <w:tcPr>
            <w:tcW w:w="1016" w:type="dxa"/>
            <w:tcBorders>
              <w:bottom w:val="single" w:sz="4" w:space="0" w:shadow="0" w:frame="0"/>
              <w:right w:val="single" w:sz="4" w:space="0" w:shadow="0" w:frame="0"/>
            </w:tcBorders>
            <w:vAlign w:val="center"/>
          </w:tcPr>
          <w:p>
            <w:pPr>
              <w:spacing w:lineRule="auto" w:line="228" w:before="40"/>
              <w:jc w:val="center"/>
              <w:rPr>
                <w:sz w:val="16"/>
              </w:rPr>
            </w:pPr>
            <w:r>
              <w:rPr>
                <w:sz w:val="16"/>
              </w:rPr>
              <w:t>Motor vehicles and motorcycles fuels</w:t>
            </w:r>
          </w:p>
        </w:tc>
        <w:tc>
          <w:tcPr>
            <w:tcW w:w="1005" w:type="dxa"/>
            <w:tcBorders>
              <w:top w:val="single" w:sz="4" w:space="0" w:shadow="0" w:frame="0"/>
              <w:left w:val="single" w:sz="4" w:space="0" w:shadow="0" w:frame="0"/>
              <w:bottom w:val="single" w:sz="4" w:space="0" w:shadow="0" w:frame="0"/>
              <w:right w:val="none" w:sz="0" w:space="0" w:shadow="0" w:frame="0"/>
            </w:tcBorders>
            <w:vAlign w:val="center"/>
          </w:tcPr>
          <w:p>
            <w:pPr>
              <w:spacing w:lineRule="auto" w:line="228" w:before="40"/>
              <w:jc w:val="center"/>
              <w:rPr>
                <w:sz w:val="16"/>
              </w:rPr>
            </w:pPr>
            <w:r>
              <w:rPr>
                <w:sz w:val="16"/>
              </w:rPr>
              <w:t>Other non-food products</w:t>
            </w:r>
          </w:p>
        </w:tc>
      </w:tr>
      <w:tr>
        <w:trPr>
          <w:wAfter w:w="0" w:type="dxa"/>
        </w:trPr>
        <w:tc>
          <w:tcPr>
            <w:tcW w:w="10261" w:type="dxa"/>
            <w:gridSpan w:val="10"/>
            <w:tcBorders>
              <w:top w:val="single" w:sz="4" w:space="0" w:shadow="0" w:frame="0"/>
              <w:left w:val="none" w:sz="0" w:space="0" w:shadow="0" w:frame="0"/>
              <w:bottom w:val="none" w:sz="0" w:space="0" w:shadow="0" w:frame="0"/>
              <w:right w:val="none" w:sz="0" w:space="0" w:shadow="0" w:frame="0"/>
            </w:tcBorders>
          </w:tcPr>
          <w:p>
            <w:pPr>
              <w:pStyle w:val="P35"/>
              <w:spacing w:lineRule="auto" w:line="228" w:before="60" w:after="60"/>
              <w:jc w:val="center"/>
              <w:rPr>
                <w:sz w:val="16"/>
              </w:rPr>
            </w:pPr>
            <w:r>
              <w:rPr>
                <w:sz w:val="16"/>
              </w:rPr>
              <w:t>Structure in %</w:t>
            </w:r>
          </w:p>
        </w:tc>
      </w:tr>
      <w:tr>
        <w:trPr>
          <w:wAfter w:w="0" w:type="dxa"/>
        </w:trPr>
        <w:tc>
          <w:tcPr>
            <w:tcW w:w="988" w:type="dxa"/>
            <w:tcBorders>
              <w:top w:val="none" w:sz="0" w:space="0" w:shadow="0" w:frame="0"/>
              <w:left w:val="none" w:sz="0" w:space="0" w:shadow="0" w:frame="0"/>
              <w:bottom w:val="none" w:sz="0" w:space="0" w:shadow="0" w:frame="0"/>
              <w:right w:val="single" w:sz="4" w:space="0" w:shadow="0" w:frame="0"/>
            </w:tcBorders>
          </w:tcPr>
          <w:p>
            <w:pPr>
              <w:pStyle w:val="P35"/>
              <w:jc w:val="center"/>
              <w:rPr>
                <w:sz w:val="16"/>
              </w:rPr>
            </w:pPr>
            <w:r>
              <w:rPr>
                <w:sz w:val="16"/>
              </w:rPr>
              <w:t xml:space="preserve">X–XII  2012</w:t>
            </w:r>
          </w:p>
        </w:tc>
        <w:tc>
          <w:tcPr>
            <w:tcW w:w="997" w:type="dxa"/>
            <w:tcBorders>
              <w:top w:val="none" w:sz="0" w:space="0" w:shadow="0" w:frame="0"/>
              <w:left w:val="single" w:sz="4" w:space="0" w:shadow="0" w:frame="0"/>
              <w:bottom w:val="none" w:sz="0" w:space="0" w:shadow="0" w:frame="0"/>
              <w:right w:val="none" w:sz="0" w:space="0" w:shadow="0" w:frame="0"/>
            </w:tcBorders>
          </w:tcPr>
          <w:p>
            <w:pPr>
              <w:pStyle w:val="P35"/>
              <w:ind w:right="227"/>
              <w:jc w:val="right"/>
              <w:rPr>
                <w:sz w:val="16"/>
              </w:rPr>
            </w:pPr>
            <w:r>
              <w:rPr>
                <w:b w:val="1"/>
                <w:sz w:val="16"/>
              </w:rPr>
              <w:t>100</w:t>
            </w:r>
          </w:p>
        </w:tc>
        <w:tc>
          <w:tcPr>
            <w:tcW w:w="1011" w:type="dxa"/>
            <w:tcBorders>
              <w:top w:val="none" w:sz="0" w:space="0" w:shadow="0" w:frame="0"/>
              <w:left w:val="none" w:sz="0" w:space="0" w:shadow="0" w:frame="0"/>
              <w:bottom w:val="none" w:sz="0" w:space="0" w:shadow="0" w:frame="0"/>
              <w:right w:val="none" w:sz="0" w:space="0" w:shadow="0" w:frame="0"/>
            </w:tcBorders>
            <w:vAlign w:val="bottom"/>
          </w:tcPr>
          <w:p>
            <w:pPr>
              <w:ind w:right="230"/>
              <w:jc w:val="right"/>
              <w:rPr>
                <w:sz w:val="16"/>
              </w:rPr>
            </w:pPr>
            <w:r>
              <w:rPr>
                <w:sz w:val="16"/>
              </w:rPr>
              <w:t>32,0</w:t>
            </w:r>
          </w:p>
        </w:tc>
        <w:tc>
          <w:tcPr>
            <w:tcW w:w="1005" w:type="dxa"/>
            <w:tcBorders>
              <w:top w:val="none" w:sz="0" w:space="0" w:shadow="0" w:frame="0"/>
              <w:left w:val="none" w:sz="0" w:space="0" w:shadow="0" w:frame="0"/>
              <w:bottom w:val="none" w:sz="0" w:space="0" w:shadow="0" w:frame="0"/>
              <w:right w:val="none" w:sz="0" w:space="0" w:shadow="0" w:frame="0"/>
            </w:tcBorders>
            <w:vAlign w:val="bottom"/>
          </w:tcPr>
          <w:p>
            <w:pPr>
              <w:ind w:right="230"/>
              <w:jc w:val="right"/>
              <w:rPr>
                <w:sz w:val="16"/>
              </w:rPr>
            </w:pPr>
            <w:r>
              <w:rPr>
                <w:sz w:val="16"/>
              </w:rPr>
              <w:t>4,2</w:t>
            </w:r>
          </w:p>
        </w:tc>
        <w:tc>
          <w:tcPr>
            <w:tcW w:w="1011" w:type="dxa"/>
            <w:tcBorders>
              <w:top w:val="none" w:sz="0" w:space="0" w:shadow="0" w:frame="0"/>
              <w:left w:val="none" w:sz="0" w:space="0" w:shadow="0" w:frame="0"/>
              <w:bottom w:val="none" w:sz="0" w:space="0" w:shadow="0" w:frame="0"/>
              <w:right w:val="none" w:sz="0" w:space="0" w:shadow="0" w:frame="0"/>
            </w:tcBorders>
            <w:vAlign w:val="bottom"/>
          </w:tcPr>
          <w:p>
            <w:pPr>
              <w:ind w:right="230"/>
              <w:jc w:val="right"/>
              <w:rPr>
                <w:sz w:val="16"/>
              </w:rPr>
            </w:pPr>
            <w:r>
              <w:rPr>
                <w:sz w:val="16"/>
              </w:rPr>
              <w:t>2,8</w:t>
            </w:r>
          </w:p>
        </w:tc>
        <w:tc>
          <w:tcPr>
            <w:tcW w:w="1012" w:type="dxa"/>
            <w:tcBorders>
              <w:top w:val="none" w:sz="0" w:space="0" w:shadow="0" w:frame="0"/>
              <w:left w:val="none" w:sz="0" w:space="0" w:shadow="0" w:frame="0"/>
              <w:bottom w:val="none" w:sz="0" w:space="0" w:shadow="0" w:frame="0"/>
              <w:right w:val="none" w:sz="0" w:space="0" w:shadow="0" w:frame="0"/>
            </w:tcBorders>
            <w:vAlign w:val="bottom"/>
          </w:tcPr>
          <w:p>
            <w:pPr>
              <w:ind w:right="230"/>
              <w:jc w:val="right"/>
              <w:rPr>
                <w:sz w:val="16"/>
              </w:rPr>
            </w:pPr>
            <w:r>
              <w:rPr>
                <w:sz w:val="16"/>
              </w:rPr>
              <w:t>9,5</w:t>
            </w:r>
          </w:p>
        </w:tc>
        <w:tc>
          <w:tcPr>
            <w:tcW w:w="1012" w:type="dxa"/>
            <w:tcBorders>
              <w:top w:val="none" w:sz="0" w:space="0" w:shadow="0" w:frame="0"/>
              <w:left w:val="none" w:sz="0" w:space="0" w:shadow="0" w:frame="0"/>
              <w:bottom w:val="none" w:sz="0" w:space="0" w:shadow="0" w:frame="0"/>
              <w:right w:val="none" w:sz="0" w:space="0" w:shadow="0" w:frame="0"/>
            </w:tcBorders>
            <w:vAlign w:val="bottom"/>
          </w:tcPr>
          <w:p>
            <w:pPr>
              <w:ind w:right="230"/>
              <w:jc w:val="right"/>
              <w:rPr>
                <w:sz w:val="16"/>
              </w:rPr>
            </w:pPr>
            <w:r>
              <w:rPr>
                <w:sz w:val="16"/>
              </w:rPr>
              <w:t>1,7</w:t>
            </w:r>
          </w:p>
        </w:tc>
        <w:tc>
          <w:tcPr>
            <w:tcW w:w="1204" w:type="dxa"/>
            <w:tcBorders>
              <w:top w:val="none" w:sz="0" w:space="0" w:shadow="0" w:frame="0"/>
              <w:left w:val="none" w:sz="0" w:space="0" w:shadow="0" w:frame="0"/>
              <w:bottom w:val="none" w:sz="0" w:space="0" w:shadow="0" w:frame="0"/>
              <w:right w:val="none" w:sz="0" w:space="0" w:shadow="0" w:frame="0"/>
            </w:tcBorders>
            <w:vAlign w:val="bottom"/>
          </w:tcPr>
          <w:p>
            <w:pPr>
              <w:ind w:right="230"/>
              <w:jc w:val="right"/>
              <w:rPr>
                <w:sz w:val="16"/>
              </w:rPr>
            </w:pPr>
            <w:r>
              <w:rPr>
                <w:sz w:val="16"/>
              </w:rPr>
              <w:t>11,3</w:t>
            </w:r>
          </w:p>
        </w:tc>
        <w:tc>
          <w:tcPr>
            <w:tcW w:w="1016" w:type="dxa"/>
            <w:tcBorders>
              <w:top w:val="none" w:sz="0" w:space="0" w:shadow="0" w:frame="0"/>
              <w:left w:val="none" w:sz="0" w:space="0" w:shadow="0" w:frame="0"/>
              <w:bottom w:val="none" w:sz="0" w:space="0" w:shadow="0" w:frame="0"/>
              <w:right w:val="none" w:sz="0" w:space="0" w:shadow="0" w:frame="0"/>
            </w:tcBorders>
            <w:vAlign w:val="bottom"/>
          </w:tcPr>
          <w:p>
            <w:pPr>
              <w:ind w:right="230"/>
              <w:jc w:val="right"/>
              <w:rPr>
                <w:sz w:val="16"/>
              </w:rPr>
            </w:pPr>
            <w:r>
              <w:rPr>
                <w:sz w:val="16"/>
              </w:rPr>
              <w:t>28,3</w:t>
            </w:r>
          </w:p>
        </w:tc>
        <w:tc>
          <w:tcPr>
            <w:tcW w:w="1005" w:type="dxa"/>
            <w:tcBorders>
              <w:top w:val="none" w:sz="0" w:space="0" w:shadow="0" w:frame="0"/>
              <w:left w:val="none" w:sz="0" w:space="0" w:shadow="0" w:frame="0"/>
              <w:bottom w:val="none" w:sz="0" w:space="0" w:shadow="0" w:frame="0"/>
              <w:right w:val="none" w:sz="0" w:space="0" w:shadow="0" w:frame="0"/>
            </w:tcBorders>
            <w:vAlign w:val="bottom"/>
          </w:tcPr>
          <w:p>
            <w:pPr>
              <w:ind w:right="230"/>
              <w:jc w:val="right"/>
              <w:rPr>
                <w:sz w:val="16"/>
              </w:rPr>
            </w:pPr>
            <w:r>
              <w:rPr>
                <w:sz w:val="16"/>
              </w:rPr>
              <w:t>10,2</w:t>
            </w:r>
          </w:p>
        </w:tc>
      </w:tr>
      <w:tr>
        <w:trPr>
          <w:wAfter w:w="0" w:type="dxa"/>
        </w:trPr>
        <w:tc>
          <w:tcPr>
            <w:tcW w:w="10261" w:type="dxa"/>
            <w:gridSpan w:val="10"/>
            <w:tcBorders>
              <w:top w:val="none" w:sz="0" w:space="0" w:shadow="0" w:frame="0"/>
              <w:left w:val="none" w:sz="0" w:space="0" w:shadow="0" w:frame="0"/>
              <w:bottom w:val="none" w:sz="0" w:space="0" w:shadow="0" w:frame="0"/>
              <w:right w:val="none" w:sz="0" w:space="0" w:shadow="0" w:frame="0"/>
            </w:tcBorders>
            <w:vAlign w:val="center"/>
          </w:tcPr>
          <w:p>
            <w:pPr>
              <w:pStyle w:val="P35"/>
              <w:spacing w:lineRule="auto" w:line="228" w:before="60" w:after="60"/>
              <w:jc w:val="center"/>
              <w:rPr>
                <w:sz w:val="16"/>
              </w:rPr>
            </w:pPr>
            <w:r>
              <w:rPr>
                <w:sz w:val="18"/>
              </w:rPr>
              <w:t>Indices, current prices</w:t>
            </w:r>
          </w:p>
        </w:tc>
      </w:tr>
      <w:tr>
        <w:trPr>
          <w:wAfter w:w="0" w:type="dxa"/>
          <w:trHeight w:hRule="atLeast" w:val="20"/>
        </w:trPr>
        <w:tc>
          <w:tcPr>
            <w:tcW w:w="988" w:type="dxa"/>
            <w:tcBorders>
              <w:top w:val="none" w:sz="0" w:space="0" w:shadow="0" w:frame="0"/>
              <w:left w:val="none" w:sz="0" w:space="0" w:shadow="0" w:frame="0"/>
              <w:bottom w:val="none" w:sz="0" w:space="0" w:shadow="0" w:frame="0"/>
              <w:right w:val="single" w:sz="4" w:space="0" w:shadow="0" w:frame="0"/>
            </w:tcBorders>
          </w:tcPr>
          <w:p>
            <w:pPr>
              <w:pStyle w:val="P35"/>
              <w:spacing w:before="40" w:after="40"/>
              <w:jc w:val="center"/>
              <w:rPr>
                <w:sz w:val="16"/>
              </w:rPr>
            </w:pPr>
            <w:r>
              <w:rPr>
                <w:sz w:val="16"/>
              </w:rPr>
              <w:t>X–XII 2012</w:t>
            </w:r>
          </w:p>
          <w:p>
            <w:pPr>
              <w:pStyle w:val="P35"/>
              <w:spacing w:before="40" w:after="40"/>
              <w:jc w:val="center"/>
              <w:rPr>
                <w:sz w:val="16"/>
              </w:rPr>
            </w:pPr>
            <w:r>
              <w:rPr>
                <w:sz w:val="16"/>
              </w:rPr>
              <w:t>VII–IX 2012</w:t>
            </w:r>
          </w:p>
        </w:tc>
        <w:tc>
          <w:tcPr>
            <w:tcW w:w="997" w:type="dxa"/>
            <w:tcBorders>
              <w:top w:val="none" w:sz="0" w:space="0" w:shadow="0" w:frame="0"/>
              <w:left w:val="single" w:sz="4" w:space="0" w:shadow="0" w:frame="0"/>
              <w:bottom w:val="none" w:sz="0" w:space="0" w:shadow="0" w:frame="0"/>
              <w:right w:val="none" w:sz="0" w:space="0" w:shadow="0" w:frame="0"/>
            </w:tcBorders>
            <w:vAlign w:val="center"/>
          </w:tcPr>
          <w:p>
            <w:pPr>
              <w:ind w:right="230"/>
              <w:jc w:val="right"/>
              <w:rPr>
                <w:b w:val="1"/>
                <w:sz w:val="16"/>
              </w:rPr>
            </w:pPr>
            <w:r>
              <w:rPr>
                <w:b w:val="1"/>
                <w:sz w:val="16"/>
              </w:rPr>
              <w:t>102,0</w:t>
            </w:r>
          </w:p>
        </w:tc>
        <w:tc>
          <w:tcPr>
            <w:tcW w:w="1011" w:type="dxa"/>
            <w:tcBorders>
              <w:top w:val="none" w:sz="0" w:space="0" w:shadow="0" w:frame="0"/>
              <w:left w:val="none" w:sz="0" w:space="0" w:shadow="0" w:frame="0"/>
              <w:bottom w:val="none" w:sz="0" w:space="0" w:shadow="0" w:frame="0"/>
              <w:right w:val="none" w:sz="0" w:space="0" w:shadow="0" w:frame="0"/>
            </w:tcBorders>
            <w:vAlign w:val="center"/>
          </w:tcPr>
          <w:p>
            <w:pPr>
              <w:ind w:right="230"/>
              <w:jc w:val="right"/>
              <w:rPr>
                <w:sz w:val="16"/>
              </w:rPr>
            </w:pPr>
            <w:r>
              <w:rPr>
                <w:sz w:val="16"/>
              </w:rPr>
              <w:t>108,3</w:t>
            </w:r>
          </w:p>
        </w:tc>
        <w:tc>
          <w:tcPr>
            <w:tcW w:w="1005" w:type="dxa"/>
            <w:tcBorders>
              <w:top w:val="none" w:sz="0" w:space="0" w:shadow="0" w:frame="0"/>
              <w:left w:val="none" w:sz="0" w:space="0" w:shadow="0" w:frame="0"/>
              <w:bottom w:val="none" w:sz="0" w:space="0" w:shadow="0" w:frame="0"/>
              <w:right w:val="none" w:sz="0" w:space="0" w:shadow="0" w:frame="0"/>
            </w:tcBorders>
            <w:vAlign w:val="center"/>
          </w:tcPr>
          <w:p>
            <w:pPr>
              <w:ind w:right="230"/>
              <w:jc w:val="right"/>
              <w:rPr>
                <w:sz w:val="16"/>
              </w:rPr>
            </w:pPr>
            <w:r>
              <w:rPr>
                <w:sz w:val="16"/>
              </w:rPr>
              <w:t>105,0</w:t>
            </w:r>
          </w:p>
        </w:tc>
        <w:tc>
          <w:tcPr>
            <w:tcW w:w="1011" w:type="dxa"/>
            <w:tcBorders>
              <w:top w:val="none" w:sz="0" w:space="0" w:shadow="0" w:frame="0"/>
              <w:left w:val="none" w:sz="0" w:space="0" w:shadow="0" w:frame="0"/>
              <w:bottom w:val="none" w:sz="0" w:space="0" w:shadow="0" w:frame="0"/>
              <w:right w:val="none" w:sz="0" w:space="0" w:shadow="0" w:frame="0"/>
            </w:tcBorders>
            <w:vAlign w:val="center"/>
          </w:tcPr>
          <w:p>
            <w:pPr>
              <w:ind w:right="230"/>
              <w:jc w:val="right"/>
              <w:rPr>
                <w:sz w:val="16"/>
              </w:rPr>
            </w:pPr>
            <w:r>
              <w:rPr>
                <w:sz w:val="16"/>
              </w:rPr>
              <w:t>116,9</w:t>
            </w:r>
          </w:p>
        </w:tc>
        <w:tc>
          <w:tcPr>
            <w:tcW w:w="1012" w:type="dxa"/>
            <w:tcBorders>
              <w:top w:val="none" w:sz="0" w:space="0" w:shadow="0" w:frame="0"/>
              <w:left w:val="none" w:sz="0" w:space="0" w:shadow="0" w:frame="0"/>
              <w:bottom w:val="none" w:sz="0" w:space="0" w:shadow="0" w:frame="0"/>
              <w:right w:val="none" w:sz="0" w:space="0" w:shadow="0" w:frame="0"/>
            </w:tcBorders>
            <w:vAlign w:val="center"/>
          </w:tcPr>
          <w:p>
            <w:pPr>
              <w:ind w:right="230"/>
              <w:jc w:val="right"/>
              <w:rPr>
                <w:sz w:val="16"/>
              </w:rPr>
            </w:pPr>
            <w:r>
              <w:rPr>
                <w:sz w:val="16"/>
              </w:rPr>
              <w:t>90,4</w:t>
            </w:r>
          </w:p>
        </w:tc>
        <w:tc>
          <w:tcPr>
            <w:tcW w:w="1012" w:type="dxa"/>
            <w:tcBorders>
              <w:top w:val="none" w:sz="0" w:space="0" w:shadow="0" w:frame="0"/>
              <w:left w:val="none" w:sz="0" w:space="0" w:shadow="0" w:frame="0"/>
              <w:bottom w:val="none" w:sz="0" w:space="0" w:shadow="0" w:frame="0"/>
              <w:right w:val="none" w:sz="0" w:space="0" w:shadow="0" w:frame="0"/>
            </w:tcBorders>
            <w:vAlign w:val="center"/>
          </w:tcPr>
          <w:p>
            <w:pPr>
              <w:ind w:right="230"/>
              <w:jc w:val="right"/>
              <w:rPr>
                <w:sz w:val="16"/>
              </w:rPr>
            </w:pPr>
            <w:r>
              <w:rPr>
                <w:sz w:val="16"/>
              </w:rPr>
              <w:t>107,4</w:t>
            </w:r>
          </w:p>
        </w:tc>
        <w:tc>
          <w:tcPr>
            <w:tcW w:w="1204" w:type="dxa"/>
            <w:tcBorders>
              <w:top w:val="none" w:sz="0" w:space="0" w:shadow="0" w:frame="0"/>
              <w:left w:val="none" w:sz="0" w:space="0" w:shadow="0" w:frame="0"/>
              <w:bottom w:val="none" w:sz="0" w:space="0" w:shadow="0" w:frame="0"/>
              <w:right w:val="none" w:sz="0" w:space="0" w:shadow="0" w:frame="0"/>
            </w:tcBorders>
            <w:vAlign w:val="center"/>
          </w:tcPr>
          <w:p>
            <w:pPr>
              <w:ind w:right="230"/>
              <w:jc w:val="right"/>
              <w:rPr>
                <w:sz w:val="16"/>
              </w:rPr>
            </w:pPr>
            <w:r>
              <w:rPr>
                <w:sz w:val="16"/>
              </w:rPr>
              <w:t>109,2</w:t>
            </w:r>
          </w:p>
        </w:tc>
        <w:tc>
          <w:tcPr>
            <w:tcW w:w="1016" w:type="dxa"/>
            <w:tcBorders>
              <w:top w:val="none" w:sz="0" w:space="0" w:shadow="0" w:frame="0"/>
              <w:left w:val="none" w:sz="0" w:space="0" w:shadow="0" w:frame="0"/>
              <w:bottom w:val="none" w:sz="0" w:space="0" w:shadow="0" w:frame="0"/>
              <w:right w:val="none" w:sz="0" w:space="0" w:shadow="0" w:frame="0"/>
            </w:tcBorders>
            <w:vAlign w:val="center"/>
          </w:tcPr>
          <w:p>
            <w:pPr>
              <w:ind w:right="230"/>
              <w:jc w:val="right"/>
              <w:rPr>
                <w:sz w:val="16"/>
              </w:rPr>
            </w:pPr>
            <w:r>
              <w:rPr>
                <w:sz w:val="16"/>
              </w:rPr>
              <w:t>93,4</w:t>
            </w:r>
          </w:p>
        </w:tc>
        <w:tc>
          <w:tcPr>
            <w:tcW w:w="1005" w:type="dxa"/>
            <w:tcBorders>
              <w:top w:val="none" w:sz="0" w:space="0" w:shadow="0" w:frame="0"/>
              <w:left w:val="none" w:sz="0" w:space="0" w:shadow="0" w:frame="0"/>
              <w:bottom w:val="none" w:sz="0" w:space="0" w:shadow="0" w:frame="0"/>
              <w:right w:val="none" w:sz="0" w:space="0" w:shadow="0" w:frame="0"/>
            </w:tcBorders>
            <w:vAlign w:val="center"/>
          </w:tcPr>
          <w:p>
            <w:pPr>
              <w:ind w:right="230"/>
              <w:jc w:val="right"/>
              <w:rPr>
                <w:sz w:val="16"/>
              </w:rPr>
            </w:pPr>
            <w:r>
              <w:rPr>
                <w:sz w:val="16"/>
              </w:rPr>
              <w:t>108,8</w:t>
            </w:r>
          </w:p>
        </w:tc>
      </w:tr>
    </w:tbl>
    <w:p>
      <w:pPr>
        <w:pStyle w:val="P16"/>
        <w:spacing w:before="240" w:after="40"/>
        <w:ind w:left="0"/>
        <w:jc w:val="center"/>
        <w:rPr>
          <w:b w:val="1"/>
        </w:rPr>
      </w:pPr>
      <w:r>
        <w:rPr>
          <w:b w:val="1"/>
        </w:rPr>
        <w:t>3. Retail trade by groups of activities in the Republic of Serbia (CA division 47)</w:t>
      </w:r>
    </w:p>
    <w:tbl>
      <w:tblPr>
        <w:tblStyle w:val="T3"/>
        <w:tblW w:w="0" w:type="auto"/>
        <w:jc w:val="center"/>
        <w:tblBorders>
          <w:top w:val="none" w:sz="0"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autofit"/>
        <w:tblCellMar>
          <w:left w:w="28" w:type="dxa"/>
          <w:right w:w="28" w:type="dxa"/>
        </w:tblCellMar>
      </w:tblPr>
      <w:tblGrid/>
      <w:tr>
        <w:trPr>
          <w:wAfter w:w="0" w:type="dxa"/>
        </w:trPr>
        <w:tc>
          <w:tcPr>
            <w:tcW w:w="5175" w:type="dxa"/>
            <w:gridSpan w:val="2"/>
            <w:vMerge w:val="restart"/>
            <w:tcBorders>
              <w:top w:val="single" w:sz="4" w:space="0" w:shadow="0" w:frame="0"/>
              <w:bottom w:val="single" w:sz="4" w:space="0" w:shadow="0" w:frame="0"/>
              <w:right w:val="single" w:sz="4" w:space="0" w:shadow="0" w:frame="0"/>
            </w:tcBorders>
            <w:vAlign w:val="center"/>
          </w:tcPr>
          <w:p>
            <w:pPr>
              <w:spacing w:lineRule="auto" w:line="228"/>
              <w:jc w:val="center"/>
              <w:rPr>
                <w:sz w:val="16"/>
              </w:rPr>
            </w:pPr>
            <w:r>
              <w:rPr>
                <w:sz w:val="16"/>
              </w:rPr>
              <w:t>By groups of the Classification of Activities</w:t>
            </w:r>
          </w:p>
        </w:tc>
        <w:tc>
          <w:tcPr>
            <w:tcW w:w="1247"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lineRule="auto" w:line="228"/>
              <w:jc w:val="center"/>
              <w:rPr>
                <w:sz w:val="16"/>
              </w:rPr>
            </w:pPr>
            <w:r>
              <w:rPr>
                <w:sz w:val="16"/>
              </w:rPr>
              <w:t>Number of stores</w:t>
            </w:r>
          </w:p>
        </w:tc>
        <w:tc>
          <w:tcPr>
            <w:tcW w:w="1247"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lineRule="auto" w:line="228"/>
              <w:jc w:val="center"/>
              <w:rPr>
                <w:sz w:val="16"/>
              </w:rPr>
            </w:pPr>
            <w:r>
              <w:rPr>
                <w:sz w:val="16"/>
              </w:rPr>
              <w:t>Number of employees</w:t>
            </w:r>
          </w:p>
        </w:tc>
        <w:tc>
          <w:tcPr>
            <w:tcW w:w="2494" w:type="dxa"/>
            <w:gridSpan w:val="2"/>
            <w:tcBorders>
              <w:top w:val="single" w:sz="4" w:space="0" w:shadow="0" w:frame="0"/>
              <w:left w:val="single" w:sz="4" w:space="0" w:shadow="0" w:frame="0"/>
              <w:bottom w:val="single" w:sz="4" w:space="0" w:shadow="0" w:frame="0"/>
            </w:tcBorders>
            <w:vAlign w:val="center"/>
          </w:tcPr>
          <w:p>
            <w:pPr>
              <w:spacing w:lineRule="auto" w:line="228" w:before="60" w:after="60"/>
              <w:jc w:val="center"/>
              <w:rPr>
                <w:sz w:val="16"/>
              </w:rPr>
            </w:pPr>
            <w:r>
              <w:rPr>
                <w:sz w:val="16"/>
              </w:rPr>
              <w:t xml:space="preserve">Turnover (VAT included),                    X–XII 2012</w:t>
            </w:r>
          </w:p>
        </w:tc>
      </w:tr>
      <w:tr>
        <w:trPr>
          <w:wAfter w:w="0" w:type="dxa"/>
          <w:trHeight w:hRule="atLeast" w:val="404"/>
        </w:trPr>
        <w:tc>
          <w:tcPr>
            <w:tcW w:w="5175" w:type="dxa"/>
            <w:gridSpan w:val="2"/>
            <w:vMerge w:val="continue"/>
            <w:tcBorders>
              <w:top w:val="single" w:sz="4" w:space="0" w:shadow="0" w:frame="0"/>
              <w:bottom w:val="single" w:sz="4" w:space="0" w:shadow="0" w:frame="0"/>
              <w:right w:val="single" w:sz="4" w:space="0" w:shadow="0" w:frame="0"/>
            </w:tcBorders>
            <w:vAlign w:val="center"/>
          </w:tcPr>
          <w:p>
            <w:pPr>
              <w:spacing w:lineRule="auto" w:line="228"/>
              <w:jc w:val="center"/>
              <w:rPr>
                <w:sz w:val="16"/>
              </w:rPr>
            </w:pPr>
          </w:p>
        </w:tc>
        <w:tc>
          <w:tcPr>
            <w:tcW w:w="1247" w:type="dxa"/>
            <w:vMerge w:val="continue"/>
            <w:tcBorders>
              <w:top w:val="single" w:sz="4" w:space="0" w:shadow="0" w:frame="0"/>
              <w:left w:val="single" w:sz="4" w:space="0" w:shadow="0" w:frame="0"/>
              <w:bottom w:val="single" w:sz="4" w:space="0" w:shadow="0" w:frame="0"/>
              <w:right w:val="single" w:sz="4" w:space="0" w:shadow="0" w:frame="0"/>
            </w:tcBorders>
            <w:vAlign w:val="center"/>
          </w:tcPr>
          <w:p>
            <w:pPr>
              <w:spacing w:lineRule="auto" w:line="228"/>
              <w:jc w:val="center"/>
              <w:rPr>
                <w:sz w:val="16"/>
              </w:rPr>
            </w:pPr>
          </w:p>
        </w:tc>
        <w:tc>
          <w:tcPr>
            <w:tcW w:w="1247" w:type="dxa"/>
            <w:vMerge w:val="continue"/>
            <w:tcBorders>
              <w:top w:val="single" w:sz="4" w:space="0" w:shadow="0" w:frame="0"/>
              <w:left w:val="single" w:sz="4" w:space="0" w:shadow="0" w:frame="0"/>
              <w:bottom w:val="single" w:sz="4" w:space="0" w:shadow="0" w:frame="0"/>
              <w:right w:val="single" w:sz="4" w:space="0" w:shadow="0" w:frame="0"/>
            </w:tcBorders>
            <w:vAlign w:val="center"/>
          </w:tcPr>
          <w:p>
            <w:pPr>
              <w:spacing w:lineRule="auto" w:line="228"/>
              <w:jc w:val="center"/>
              <w:rPr>
                <w:sz w:val="16"/>
              </w:rPr>
            </w:pPr>
          </w:p>
        </w:tc>
        <w:tc>
          <w:tcPr>
            <w:tcW w:w="124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8"/>
              <w:jc w:val="center"/>
              <w:rPr>
                <w:sz w:val="16"/>
              </w:rPr>
            </w:pPr>
            <w:r>
              <w:rPr>
                <w:sz w:val="16"/>
              </w:rPr>
              <w:t>in thous. RSD</w:t>
            </w:r>
          </w:p>
        </w:tc>
        <w:tc>
          <w:tcPr>
            <w:tcW w:w="1247" w:type="dxa"/>
            <w:tcBorders>
              <w:top w:val="single" w:sz="4" w:space="0" w:shadow="0" w:frame="0"/>
              <w:left w:val="single" w:sz="4" w:space="0" w:shadow="0" w:frame="0"/>
              <w:bottom w:val="single" w:sz="4" w:space="0" w:shadow="0" w:frame="0"/>
            </w:tcBorders>
            <w:vAlign w:val="center"/>
          </w:tcPr>
          <w:p>
            <w:pPr>
              <w:spacing w:lineRule="auto" w:line="228"/>
              <w:jc w:val="center"/>
              <w:rPr>
                <w:sz w:val="16"/>
              </w:rPr>
            </w:pPr>
            <w:r>
              <w:rPr>
                <w:sz w:val="16"/>
              </w:rPr>
              <w:t>index</w:t>
            </w:r>
          </w:p>
          <w:p>
            <w:pPr>
              <w:spacing w:lineRule="auto" w:line="228"/>
              <w:jc w:val="center"/>
              <w:rPr>
                <w:sz w:val="16"/>
              </w:rPr>
            </w:pPr>
            <w:r>
              <w:rPr>
                <w:sz w:val="16"/>
              </w:rPr>
              <w:t>Ø 2011 = 100</w:t>
            </w:r>
          </w:p>
        </w:tc>
      </w:tr>
      <w:tr>
        <w:trPr>
          <w:wAfter w:w="0" w:type="dxa"/>
          <w:trHeight w:hRule="atLeast" w:val="171"/>
        </w:trPr>
        <w:tc>
          <w:tcPr>
            <w:tcW w:w="639" w:type="dxa"/>
            <w:tcBorders>
              <w:top w:val="single" w:sz="4" w:space="0" w:shadow="0" w:frame="0"/>
            </w:tcBorders>
          </w:tcPr>
          <w:p>
            <w:pPr>
              <w:spacing w:lineRule="auto" w:line="228"/>
              <w:ind w:right="-144"/>
              <w:rPr>
                <w:b w:val="1"/>
                <w:sz w:val="16"/>
              </w:rPr>
            </w:pPr>
          </w:p>
        </w:tc>
        <w:tc>
          <w:tcPr>
            <w:tcW w:w="4536" w:type="dxa"/>
            <w:tcBorders>
              <w:top w:val="single" w:sz="4" w:space="0" w:shadow="0" w:frame="0"/>
              <w:right w:val="single" w:sz="4" w:space="0" w:shadow="0" w:frame="0"/>
            </w:tcBorders>
          </w:tcPr>
          <w:p>
            <w:pPr>
              <w:spacing w:lineRule="auto" w:line="228"/>
              <w:ind w:right="-144"/>
              <w:rPr>
                <w:sz w:val="16"/>
              </w:rPr>
            </w:pPr>
          </w:p>
        </w:tc>
        <w:tc>
          <w:tcPr>
            <w:tcW w:w="1247" w:type="dxa"/>
            <w:tcBorders>
              <w:top w:val="single" w:sz="4" w:space="0" w:shadow="0" w:frame="0"/>
              <w:left w:val="single" w:sz="4" w:space="0" w:shadow="0" w:frame="0"/>
            </w:tcBorders>
          </w:tcPr>
          <w:p>
            <w:pPr>
              <w:spacing w:lineRule="auto" w:line="228"/>
              <w:ind w:right="144"/>
              <w:jc w:val="right"/>
              <w:rPr>
                <w:sz w:val="16"/>
              </w:rPr>
            </w:pPr>
          </w:p>
        </w:tc>
        <w:tc>
          <w:tcPr>
            <w:tcW w:w="1247" w:type="dxa"/>
            <w:tcBorders>
              <w:top w:val="single" w:sz="4" w:space="0" w:shadow="0" w:frame="0"/>
            </w:tcBorders>
          </w:tcPr>
          <w:p>
            <w:pPr>
              <w:spacing w:lineRule="auto" w:line="228"/>
              <w:ind w:right="144"/>
              <w:jc w:val="right"/>
              <w:rPr>
                <w:sz w:val="16"/>
              </w:rPr>
            </w:pPr>
          </w:p>
        </w:tc>
        <w:tc>
          <w:tcPr>
            <w:tcW w:w="1247" w:type="dxa"/>
            <w:tcBorders>
              <w:top w:val="single" w:sz="4" w:space="0" w:shadow="0" w:frame="0"/>
            </w:tcBorders>
          </w:tcPr>
          <w:p>
            <w:pPr>
              <w:spacing w:lineRule="auto" w:line="228"/>
              <w:ind w:right="144"/>
              <w:jc w:val="right"/>
              <w:rPr>
                <w:sz w:val="16"/>
              </w:rPr>
            </w:pPr>
          </w:p>
        </w:tc>
        <w:tc>
          <w:tcPr>
            <w:tcW w:w="1247" w:type="dxa"/>
            <w:tcBorders>
              <w:top w:val="single" w:sz="4" w:space="0" w:shadow="0" w:frame="0"/>
            </w:tcBorders>
          </w:tcPr>
          <w:p>
            <w:pPr>
              <w:spacing w:lineRule="auto" w:line="228"/>
              <w:ind w:right="144"/>
              <w:jc w:val="right"/>
              <w:rPr>
                <w:sz w:val="16"/>
              </w:rPr>
            </w:pPr>
          </w:p>
        </w:tc>
      </w:tr>
      <w:tr>
        <w:trPr>
          <w:wAfter w:w="0" w:type="dxa"/>
        </w:trPr>
        <w:tc>
          <w:tcPr>
            <w:tcW w:w="639" w:type="dxa"/>
          </w:tcPr>
          <w:p>
            <w:pPr>
              <w:spacing w:lineRule="auto" w:line="228"/>
              <w:ind w:right="-144"/>
              <w:rPr>
                <w:b w:val="1"/>
                <w:sz w:val="16"/>
              </w:rPr>
            </w:pPr>
            <w:r>
              <w:rPr>
                <w:b w:val="1"/>
                <w:sz w:val="16"/>
              </w:rPr>
              <w:t>47</w:t>
            </w:r>
          </w:p>
        </w:tc>
        <w:tc>
          <w:tcPr>
            <w:tcW w:w="4536" w:type="dxa"/>
            <w:tcBorders>
              <w:right w:val="single" w:sz="4" w:space="0" w:shadow="0" w:frame="0"/>
            </w:tcBorders>
          </w:tcPr>
          <w:p>
            <w:pPr>
              <w:spacing w:lineRule="auto" w:line="228"/>
              <w:rPr>
                <w:b w:val="1"/>
                <w:sz w:val="16"/>
              </w:rPr>
            </w:pPr>
            <w:r>
              <w:rPr>
                <w:b w:val="1"/>
                <w:sz w:val="16"/>
              </w:rPr>
              <w:t>Total</w:t>
            </w:r>
          </w:p>
        </w:tc>
        <w:tc>
          <w:tcPr>
            <w:tcW w:w="1247" w:type="dxa"/>
            <w:tcBorders>
              <w:left w:val="single" w:sz="4" w:space="0" w:shadow="0" w:frame="0"/>
            </w:tcBorders>
            <w:vAlign w:val="bottom"/>
          </w:tcPr>
          <w:p>
            <w:pPr>
              <w:ind w:right="227"/>
              <w:jc w:val="right"/>
              <w:rPr>
                <w:b w:val="1"/>
                <w:sz w:val="16"/>
              </w:rPr>
            </w:pPr>
            <w:r>
              <w:rPr>
                <w:b w:val="1"/>
                <w:sz w:val="16"/>
              </w:rPr>
              <w:t>15 189</w:t>
            </w:r>
          </w:p>
        </w:tc>
        <w:tc>
          <w:tcPr>
            <w:tcW w:w="1247" w:type="dxa"/>
            <w:vAlign w:val="bottom"/>
          </w:tcPr>
          <w:p>
            <w:pPr>
              <w:ind w:right="227"/>
              <w:jc w:val="right"/>
              <w:rPr>
                <w:b w:val="1"/>
                <w:sz w:val="16"/>
              </w:rPr>
            </w:pPr>
            <w:r>
              <w:rPr>
                <w:b w:val="1"/>
                <w:sz w:val="16"/>
              </w:rPr>
              <w:t>83 824</w:t>
            </w:r>
          </w:p>
        </w:tc>
        <w:tc>
          <w:tcPr>
            <w:tcW w:w="1247" w:type="dxa"/>
            <w:vAlign w:val="bottom"/>
          </w:tcPr>
          <w:p>
            <w:pPr>
              <w:ind w:right="144"/>
              <w:jc w:val="right"/>
              <w:rPr>
                <w:b w:val="1"/>
                <w:sz w:val="16"/>
              </w:rPr>
            </w:pPr>
            <w:r>
              <w:rPr>
                <w:b w:val="1"/>
                <w:sz w:val="16"/>
              </w:rPr>
              <w:t>248 173 235</w:t>
            </w:r>
          </w:p>
        </w:tc>
        <w:tc>
          <w:tcPr>
            <w:tcW w:w="1247" w:type="dxa"/>
            <w:vAlign w:val="bottom"/>
          </w:tcPr>
          <w:p>
            <w:pPr>
              <w:ind w:right="230"/>
              <w:jc w:val="right"/>
              <w:rPr>
                <w:b w:val="1"/>
                <w:sz w:val="16"/>
              </w:rPr>
            </w:pPr>
            <w:r>
              <w:rPr>
                <w:b w:val="1"/>
                <w:sz w:val="16"/>
              </w:rPr>
              <w:t>109,6</w:t>
            </w:r>
          </w:p>
        </w:tc>
      </w:tr>
      <w:tr>
        <w:trPr>
          <w:wAfter w:w="0" w:type="dxa"/>
        </w:trPr>
        <w:tc>
          <w:tcPr>
            <w:tcW w:w="639" w:type="dxa"/>
          </w:tcPr>
          <w:p>
            <w:pPr>
              <w:spacing w:lineRule="auto" w:line="228"/>
              <w:ind w:left="-144" w:right="-144"/>
              <w:jc w:val="center"/>
              <w:rPr>
                <w:sz w:val="16"/>
              </w:rPr>
            </w:pPr>
          </w:p>
        </w:tc>
        <w:tc>
          <w:tcPr>
            <w:tcW w:w="4536" w:type="dxa"/>
            <w:tcBorders>
              <w:right w:val="single" w:sz="4" w:space="0" w:shadow="0" w:frame="0"/>
            </w:tcBorders>
          </w:tcPr>
          <w:p>
            <w:pPr>
              <w:spacing w:lineRule="auto" w:line="228"/>
              <w:rPr>
                <w:i w:val="0"/>
                <w:sz w:val="16"/>
              </w:rPr>
            </w:pPr>
            <w:r>
              <w:rPr>
                <w:i w:val="1"/>
                <w:sz w:val="16"/>
              </w:rPr>
              <w:t>Of which:</w:t>
            </w:r>
          </w:p>
        </w:tc>
        <w:tc>
          <w:tcPr>
            <w:tcW w:w="1247" w:type="dxa"/>
            <w:tcBorders>
              <w:left w:val="single" w:sz="4" w:space="0" w:shadow="0" w:frame="0"/>
            </w:tcBorders>
            <w:vAlign w:val="bottom"/>
          </w:tcPr>
          <w:p>
            <w:pPr>
              <w:ind w:right="227"/>
              <w:jc w:val="right"/>
              <w:rPr>
                <w:sz w:val="16"/>
              </w:rPr>
            </w:pPr>
          </w:p>
        </w:tc>
        <w:tc>
          <w:tcPr>
            <w:tcW w:w="1247" w:type="dxa"/>
            <w:vAlign w:val="bottom"/>
          </w:tcPr>
          <w:p>
            <w:pPr>
              <w:ind w:right="227"/>
              <w:jc w:val="right"/>
              <w:rPr>
                <w:sz w:val="16"/>
              </w:rPr>
            </w:pPr>
          </w:p>
        </w:tc>
        <w:tc>
          <w:tcPr>
            <w:tcW w:w="1247" w:type="dxa"/>
            <w:vAlign w:val="bottom"/>
          </w:tcPr>
          <w:p>
            <w:pPr>
              <w:ind w:right="144"/>
              <w:jc w:val="right"/>
              <w:rPr>
                <w:sz w:val="16"/>
              </w:rPr>
            </w:pPr>
          </w:p>
        </w:tc>
        <w:tc>
          <w:tcPr>
            <w:tcW w:w="1247" w:type="dxa"/>
            <w:vAlign w:val="bottom"/>
          </w:tcPr>
          <w:p>
            <w:pPr>
              <w:ind w:right="230"/>
              <w:jc w:val="right"/>
              <w:rPr>
                <w:sz w:val="16"/>
              </w:rPr>
            </w:pPr>
          </w:p>
        </w:tc>
      </w:tr>
      <w:tr>
        <w:trPr>
          <w:wAfter w:w="0" w:type="dxa"/>
          <w:trHeight w:hRule="atLeast" w:val="194"/>
        </w:trPr>
        <w:tc>
          <w:tcPr>
            <w:tcW w:w="639" w:type="dxa"/>
          </w:tcPr>
          <w:p>
            <w:pPr>
              <w:spacing w:lineRule="auto" w:line="228"/>
              <w:ind w:left="-144" w:right="-144"/>
              <w:jc w:val="center"/>
              <w:rPr>
                <w:sz w:val="16"/>
              </w:rPr>
            </w:pPr>
            <w:r>
              <w:rPr>
                <w:sz w:val="16"/>
              </w:rPr>
              <w:t>47.1</w:t>
            </w:r>
          </w:p>
        </w:tc>
        <w:tc>
          <w:tcPr>
            <w:tcW w:w="4536" w:type="dxa"/>
            <w:tcBorders>
              <w:right w:val="single" w:sz="4" w:space="0" w:shadow="0" w:frame="0"/>
            </w:tcBorders>
          </w:tcPr>
          <w:p>
            <w:pPr>
              <w:spacing w:lineRule="auto" w:line="228"/>
              <w:rPr>
                <w:b w:val="1"/>
                <w:sz w:val="16"/>
              </w:rPr>
            </w:pPr>
            <w:r>
              <w:rPr>
                <w:sz w:val="16"/>
              </w:rPr>
              <w:t>Retail trade in non-specialized stores</w:t>
            </w:r>
          </w:p>
        </w:tc>
        <w:tc>
          <w:tcPr>
            <w:tcW w:w="1247" w:type="dxa"/>
            <w:tcBorders>
              <w:left w:val="single" w:sz="4" w:space="0" w:shadow="0" w:frame="0"/>
            </w:tcBorders>
            <w:vAlign w:val="bottom"/>
          </w:tcPr>
          <w:p>
            <w:pPr>
              <w:ind w:right="227"/>
              <w:jc w:val="right"/>
              <w:rPr>
                <w:sz w:val="16"/>
              </w:rPr>
            </w:pPr>
            <w:r>
              <w:rPr>
                <w:sz w:val="16"/>
              </w:rPr>
              <w:t>4 318</w:t>
            </w:r>
          </w:p>
        </w:tc>
        <w:tc>
          <w:tcPr>
            <w:tcW w:w="1247" w:type="dxa"/>
            <w:vAlign w:val="bottom"/>
          </w:tcPr>
          <w:p>
            <w:pPr>
              <w:ind w:right="227"/>
              <w:jc w:val="right"/>
              <w:rPr>
                <w:sz w:val="16"/>
              </w:rPr>
            </w:pPr>
            <w:r>
              <w:rPr>
                <w:sz w:val="16"/>
              </w:rPr>
              <w:t>35 083</w:t>
            </w:r>
          </w:p>
        </w:tc>
        <w:tc>
          <w:tcPr>
            <w:tcW w:w="1247" w:type="dxa"/>
            <w:vAlign w:val="bottom"/>
          </w:tcPr>
          <w:p>
            <w:pPr>
              <w:ind w:right="144"/>
              <w:jc w:val="right"/>
              <w:rPr>
                <w:sz w:val="16"/>
              </w:rPr>
            </w:pPr>
            <w:r>
              <w:rPr>
                <w:sz w:val="16"/>
              </w:rPr>
              <w:t>93 791 139</w:t>
            </w:r>
          </w:p>
        </w:tc>
        <w:tc>
          <w:tcPr>
            <w:tcW w:w="1247" w:type="dxa"/>
            <w:vAlign w:val="bottom"/>
          </w:tcPr>
          <w:p>
            <w:pPr>
              <w:ind w:right="230"/>
              <w:jc w:val="right"/>
              <w:rPr>
                <w:sz w:val="16"/>
              </w:rPr>
            </w:pPr>
            <w:r>
              <w:rPr>
                <w:sz w:val="16"/>
              </w:rPr>
              <w:t>107,1</w:t>
            </w:r>
          </w:p>
        </w:tc>
      </w:tr>
      <w:tr>
        <w:trPr>
          <w:wAfter w:w="0" w:type="dxa"/>
        </w:trPr>
        <w:tc>
          <w:tcPr>
            <w:tcW w:w="639" w:type="dxa"/>
          </w:tcPr>
          <w:p>
            <w:pPr>
              <w:spacing w:lineRule="auto" w:line="228"/>
              <w:ind w:left="-144" w:right="-144"/>
              <w:jc w:val="center"/>
              <w:rPr>
                <w:sz w:val="16"/>
              </w:rPr>
            </w:pPr>
            <w:r>
              <w:rPr>
                <w:sz w:val="16"/>
              </w:rPr>
              <w:t>47.2</w:t>
            </w:r>
          </w:p>
        </w:tc>
        <w:tc>
          <w:tcPr>
            <w:tcW w:w="4536" w:type="dxa"/>
            <w:tcBorders>
              <w:right w:val="single" w:sz="4" w:space="0" w:shadow="0" w:frame="0"/>
            </w:tcBorders>
          </w:tcPr>
          <w:p>
            <w:pPr>
              <w:spacing w:lineRule="auto" w:line="228"/>
              <w:rPr>
                <w:b w:val="1"/>
                <w:sz w:val="16"/>
              </w:rPr>
            </w:pPr>
            <w:r>
              <w:rPr>
                <w:sz w:val="16"/>
              </w:rPr>
              <w:t>Retail trade of food, beverages and tobacco in specialized stores</w:t>
            </w:r>
          </w:p>
        </w:tc>
        <w:tc>
          <w:tcPr>
            <w:tcW w:w="1247" w:type="dxa"/>
            <w:tcBorders>
              <w:left w:val="single" w:sz="4" w:space="0" w:shadow="0" w:frame="0"/>
            </w:tcBorders>
            <w:vAlign w:val="bottom"/>
          </w:tcPr>
          <w:p>
            <w:pPr>
              <w:ind w:right="227"/>
              <w:jc w:val="right"/>
              <w:rPr>
                <w:sz w:val="16"/>
              </w:rPr>
            </w:pPr>
            <w:r>
              <w:rPr>
                <w:sz w:val="16"/>
              </w:rPr>
              <w:t>1 812</w:t>
            </w:r>
          </w:p>
        </w:tc>
        <w:tc>
          <w:tcPr>
            <w:tcW w:w="1247" w:type="dxa"/>
            <w:vAlign w:val="bottom"/>
          </w:tcPr>
          <w:p>
            <w:pPr>
              <w:ind w:right="227"/>
              <w:jc w:val="right"/>
              <w:rPr>
                <w:sz w:val="16"/>
              </w:rPr>
            </w:pPr>
            <w:r>
              <w:rPr>
                <w:sz w:val="16"/>
              </w:rPr>
              <w:t>6 426</w:t>
            </w:r>
          </w:p>
        </w:tc>
        <w:tc>
          <w:tcPr>
            <w:tcW w:w="1247" w:type="dxa"/>
            <w:vAlign w:val="bottom"/>
          </w:tcPr>
          <w:p>
            <w:pPr>
              <w:ind w:right="144"/>
              <w:jc w:val="right"/>
              <w:rPr>
                <w:sz w:val="16"/>
              </w:rPr>
            </w:pPr>
            <w:r>
              <w:rPr>
                <w:sz w:val="16"/>
              </w:rPr>
              <w:t>13 822 783</w:t>
            </w:r>
          </w:p>
        </w:tc>
        <w:tc>
          <w:tcPr>
            <w:tcW w:w="1247" w:type="dxa"/>
            <w:vAlign w:val="bottom"/>
          </w:tcPr>
          <w:p>
            <w:pPr>
              <w:ind w:right="230"/>
              <w:jc w:val="right"/>
              <w:rPr>
                <w:sz w:val="16"/>
              </w:rPr>
            </w:pPr>
            <w:r>
              <w:rPr>
                <w:sz w:val="16"/>
              </w:rPr>
              <w:t>111,0</w:t>
            </w:r>
          </w:p>
        </w:tc>
      </w:tr>
      <w:tr>
        <w:trPr>
          <w:wAfter w:w="0" w:type="dxa"/>
        </w:trPr>
        <w:tc>
          <w:tcPr>
            <w:tcW w:w="639" w:type="dxa"/>
          </w:tcPr>
          <w:p>
            <w:pPr>
              <w:spacing w:lineRule="auto" w:line="228"/>
              <w:ind w:left="-144" w:right="-144"/>
              <w:jc w:val="center"/>
              <w:rPr>
                <w:sz w:val="16"/>
              </w:rPr>
            </w:pPr>
            <w:r>
              <w:rPr>
                <w:sz w:val="16"/>
              </w:rPr>
              <w:t>47.3</w:t>
            </w:r>
          </w:p>
        </w:tc>
        <w:tc>
          <w:tcPr>
            <w:tcW w:w="4536" w:type="dxa"/>
            <w:tcBorders>
              <w:right w:val="single" w:sz="4" w:space="0" w:shadow="0" w:frame="0"/>
            </w:tcBorders>
          </w:tcPr>
          <w:p>
            <w:pPr>
              <w:spacing w:lineRule="auto" w:line="228"/>
              <w:rPr>
                <w:b w:val="1"/>
                <w:sz w:val="16"/>
              </w:rPr>
            </w:pPr>
            <w:r>
              <w:rPr>
                <w:sz w:val="16"/>
              </w:rPr>
              <w:t>Retail trade of motor fuels and lubricants in specialized stores</w:t>
            </w:r>
          </w:p>
        </w:tc>
        <w:tc>
          <w:tcPr>
            <w:tcW w:w="1247" w:type="dxa"/>
            <w:tcBorders>
              <w:left w:val="single" w:sz="4" w:space="0" w:shadow="0" w:frame="0"/>
            </w:tcBorders>
            <w:vAlign w:val="bottom"/>
          </w:tcPr>
          <w:p>
            <w:pPr>
              <w:ind w:right="227"/>
              <w:jc w:val="right"/>
              <w:rPr>
                <w:sz w:val="16"/>
              </w:rPr>
            </w:pPr>
            <w:r>
              <w:rPr>
                <w:sz w:val="16"/>
              </w:rPr>
              <w:t>1 055</w:t>
            </w:r>
          </w:p>
        </w:tc>
        <w:tc>
          <w:tcPr>
            <w:tcW w:w="1247" w:type="dxa"/>
            <w:vAlign w:val="bottom"/>
          </w:tcPr>
          <w:p>
            <w:pPr>
              <w:ind w:right="227"/>
              <w:jc w:val="right"/>
              <w:rPr>
                <w:sz w:val="16"/>
              </w:rPr>
            </w:pPr>
            <w:r>
              <w:rPr>
                <w:sz w:val="16"/>
              </w:rPr>
              <w:t>5 851</w:t>
            </w:r>
          </w:p>
        </w:tc>
        <w:tc>
          <w:tcPr>
            <w:tcW w:w="1247" w:type="dxa"/>
            <w:vAlign w:val="bottom"/>
          </w:tcPr>
          <w:p>
            <w:pPr>
              <w:ind w:right="144"/>
              <w:jc w:val="right"/>
              <w:rPr>
                <w:sz w:val="16"/>
              </w:rPr>
            </w:pPr>
            <w:r>
              <w:rPr>
                <w:sz w:val="16"/>
              </w:rPr>
              <w:t>73 844 798</w:t>
            </w:r>
          </w:p>
        </w:tc>
        <w:tc>
          <w:tcPr>
            <w:tcW w:w="1247" w:type="dxa"/>
            <w:vAlign w:val="bottom"/>
          </w:tcPr>
          <w:p>
            <w:pPr>
              <w:ind w:right="230"/>
              <w:jc w:val="right"/>
              <w:rPr>
                <w:sz w:val="16"/>
              </w:rPr>
            </w:pPr>
            <w:r>
              <w:rPr>
                <w:sz w:val="16"/>
              </w:rPr>
              <w:t>108,0</w:t>
            </w:r>
          </w:p>
        </w:tc>
      </w:tr>
      <w:tr>
        <w:trPr>
          <w:wAfter w:w="0" w:type="dxa"/>
        </w:trPr>
        <w:tc>
          <w:tcPr>
            <w:tcW w:w="639" w:type="dxa"/>
          </w:tcPr>
          <w:p>
            <w:pPr>
              <w:spacing w:lineRule="auto" w:line="228"/>
              <w:ind w:left="-144" w:right="-144"/>
              <w:jc w:val="center"/>
              <w:rPr>
                <w:sz w:val="16"/>
              </w:rPr>
            </w:pPr>
            <w:r>
              <w:rPr>
                <w:sz w:val="16"/>
              </w:rPr>
              <w:t>47.4–9</w:t>
            </w:r>
          </w:p>
        </w:tc>
        <w:tc>
          <w:tcPr>
            <w:tcW w:w="4536" w:type="dxa"/>
            <w:tcBorders>
              <w:right w:val="single" w:sz="4" w:space="0" w:shadow="0" w:frame="0"/>
            </w:tcBorders>
          </w:tcPr>
          <w:p>
            <w:pPr>
              <w:spacing w:lineRule="auto" w:line="228"/>
              <w:rPr>
                <w:sz w:val="16"/>
              </w:rPr>
            </w:pPr>
            <w:r>
              <w:rPr>
                <w:sz w:val="16"/>
              </w:rPr>
              <w:t>Other</w:t>
            </w:r>
          </w:p>
        </w:tc>
        <w:tc>
          <w:tcPr>
            <w:tcW w:w="1247" w:type="dxa"/>
            <w:tcBorders>
              <w:left w:val="single" w:sz="4" w:space="0" w:shadow="0" w:frame="0"/>
            </w:tcBorders>
            <w:vAlign w:val="bottom"/>
          </w:tcPr>
          <w:p>
            <w:pPr>
              <w:ind w:right="227"/>
              <w:jc w:val="right"/>
              <w:rPr>
                <w:sz w:val="16"/>
              </w:rPr>
            </w:pPr>
            <w:r>
              <w:rPr>
                <w:sz w:val="16"/>
              </w:rPr>
              <w:t>8 004</w:t>
            </w:r>
          </w:p>
        </w:tc>
        <w:tc>
          <w:tcPr>
            <w:tcW w:w="1247" w:type="dxa"/>
            <w:vAlign w:val="bottom"/>
          </w:tcPr>
          <w:p>
            <w:pPr>
              <w:ind w:right="227"/>
              <w:jc w:val="right"/>
              <w:rPr>
                <w:sz w:val="16"/>
              </w:rPr>
            </w:pPr>
            <w:r>
              <w:rPr>
                <w:sz w:val="16"/>
              </w:rPr>
              <w:t>36 464</w:t>
            </w:r>
          </w:p>
        </w:tc>
        <w:tc>
          <w:tcPr>
            <w:tcW w:w="1247" w:type="dxa"/>
            <w:vAlign w:val="bottom"/>
          </w:tcPr>
          <w:p>
            <w:pPr>
              <w:ind w:right="144"/>
              <w:jc w:val="right"/>
              <w:rPr>
                <w:sz w:val="16"/>
              </w:rPr>
            </w:pPr>
            <w:r>
              <w:rPr>
                <w:sz w:val="16"/>
              </w:rPr>
              <w:t>66 714 515</w:t>
            </w:r>
          </w:p>
        </w:tc>
        <w:tc>
          <w:tcPr>
            <w:tcW w:w="1247" w:type="dxa"/>
            <w:vAlign w:val="bottom"/>
          </w:tcPr>
          <w:p>
            <w:pPr>
              <w:ind w:right="230"/>
              <w:jc w:val="right"/>
              <w:rPr>
                <w:sz w:val="16"/>
              </w:rPr>
            </w:pPr>
            <w:r>
              <w:rPr>
                <w:sz w:val="16"/>
              </w:rPr>
              <w:t>115,0</w:t>
            </w:r>
          </w:p>
        </w:tc>
      </w:tr>
    </w:tbl>
    <w:p>
      <w:pPr>
        <w:pStyle w:val="P16"/>
        <w:spacing w:before="240" w:after="40"/>
        <w:ind w:left="0"/>
        <w:jc w:val="center"/>
        <w:rPr>
          <w:b w:val="1"/>
        </w:rPr>
      </w:pPr>
      <w:r>
        <w:rPr>
          <w:b w:val="1"/>
        </w:rPr>
        <w:t xml:space="preserve">4. </w:t>
      </w:r>
      <w:r>
        <w:rPr>
          <w:b w:val="1"/>
        </w:rPr>
        <w:t>Indices of retail trade turnover in the Republic of Serbia, by months (CA division 47)</w:t>
      </w:r>
    </w:p>
    <w:tbl>
      <w:tblPr>
        <w:tblStyle w:val="T3"/>
        <w:tblW w:w="0" w:type="auto"/>
        <w:jc w:val="center"/>
        <w:tblLayout w:type="fixed"/>
        <w:tblCellMar>
          <w:left w:w="28" w:type="dxa"/>
          <w:right w:w="28" w:type="dxa"/>
        </w:tblCellMar>
      </w:tblPr>
      <w:tblGrid/>
      <w:tr>
        <w:trPr>
          <w:wAfter w:w="0" w:type="dxa"/>
          <w:trHeight w:hRule="atLeast" w:val="251"/>
        </w:trPr>
        <w:tc>
          <w:tcPr>
            <w:tcW w:w="3005" w:type="dxa"/>
            <w:vMerge w:val="restart"/>
            <w:tcBorders>
              <w:top w:val="single" w:sz="4" w:space="0" w:shadow="0" w:frame="0"/>
              <w:left w:val="none" w:sz="0" w:space="0" w:shadow="0" w:frame="0"/>
              <w:bottom w:val="single" w:sz="4" w:space="0" w:shadow="0" w:frame="0"/>
              <w:right w:val="single" w:sz="4" w:space="0" w:shadow="0" w:frame="0"/>
            </w:tcBorders>
          </w:tcPr>
          <w:p>
            <w:pPr>
              <w:pStyle w:val="P35"/>
              <w:spacing w:lineRule="auto" w:line="228"/>
              <w:rPr>
                <w:sz w:val="16"/>
              </w:rPr>
            </w:pPr>
          </w:p>
        </w:tc>
        <w:tc>
          <w:tcPr>
            <w:tcW w:w="7146" w:type="dxa"/>
            <w:gridSpan w:val="6"/>
            <w:tcBorders>
              <w:top w:val="single" w:sz="4" w:space="0" w:shadow="0" w:frame="0"/>
              <w:left w:val="single" w:sz="4" w:space="0" w:shadow="0" w:frame="0"/>
              <w:bottom w:val="single" w:sz="4" w:space="0" w:shadow="0" w:frame="0"/>
              <w:right w:val="none" w:sz="0" w:space="0" w:shadow="0" w:frame="0"/>
            </w:tcBorders>
          </w:tcPr>
          <w:p>
            <w:pPr>
              <w:pStyle w:val="P35"/>
              <w:spacing w:lineRule="auto" w:line="228" w:before="40" w:after="40"/>
              <w:jc w:val="center"/>
              <w:rPr>
                <w:sz w:val="16"/>
              </w:rPr>
            </w:pPr>
            <w:r>
              <w:rPr>
                <w:sz w:val="16"/>
              </w:rPr>
              <w:t>Monthly indices for 2012</w:t>
            </w:r>
          </w:p>
        </w:tc>
      </w:tr>
      <w:tr>
        <w:trPr>
          <w:wAfter w:w="0" w:type="dxa"/>
        </w:trPr>
        <w:tc>
          <w:tcPr>
            <w:tcW w:w="3005" w:type="dxa"/>
            <w:vMerge w:val="continue"/>
            <w:tcBorders>
              <w:top w:val="none" w:sz="0" w:space="0" w:shadow="0" w:frame="0"/>
              <w:left w:val="none" w:sz="0" w:space="0" w:shadow="0" w:frame="0"/>
              <w:bottom w:val="single" w:sz="4" w:space="0" w:shadow="0" w:frame="0"/>
              <w:right w:val="single" w:sz="4" w:space="0" w:shadow="0" w:frame="0"/>
            </w:tcBorders>
          </w:tcPr>
          <w:p>
            <w:pPr>
              <w:pStyle w:val="P35"/>
              <w:spacing w:lineRule="auto" w:line="228"/>
              <w:rPr>
                <w:sz w:val="16"/>
              </w:rPr>
            </w:pPr>
          </w:p>
        </w:tc>
        <w:tc>
          <w:tcPr>
            <w:tcW w:w="3573" w:type="dxa"/>
            <w:gridSpan w:val="3"/>
            <w:tcBorders>
              <w:top w:val="single" w:sz="4" w:space="0" w:shadow="0" w:frame="0"/>
              <w:left w:val="single" w:sz="4" w:space="0" w:shadow="0" w:frame="0"/>
              <w:right w:val="single" w:sz="4" w:space="0" w:shadow="0" w:frame="0"/>
            </w:tcBorders>
          </w:tcPr>
          <w:p>
            <w:pPr>
              <w:pStyle w:val="P35"/>
              <w:spacing w:lineRule="auto" w:line="228" w:before="40" w:after="40"/>
              <w:jc w:val="center"/>
              <w:rPr>
                <w:sz w:val="16"/>
              </w:rPr>
            </w:pPr>
            <w:r>
              <w:rPr>
                <w:sz w:val="16"/>
              </w:rPr>
              <w:t>at current prices</w:t>
            </w:r>
          </w:p>
        </w:tc>
        <w:tc>
          <w:tcPr>
            <w:tcW w:w="3573" w:type="dxa"/>
            <w:gridSpan w:val="3"/>
            <w:tcBorders>
              <w:top w:val="single" w:sz="4" w:space="0" w:shadow="0" w:frame="0"/>
              <w:left w:val="single" w:sz="4" w:space="0" w:shadow="0" w:frame="0"/>
              <w:bottom w:val="single" w:sz="4" w:space="0" w:shadow="0" w:frame="0"/>
              <w:right w:val="none" w:sz="0" w:space="0" w:shadow="0" w:frame="0"/>
            </w:tcBorders>
          </w:tcPr>
          <w:p>
            <w:pPr>
              <w:pStyle w:val="P35"/>
              <w:spacing w:lineRule="auto" w:line="228" w:before="40" w:after="40"/>
              <w:jc w:val="center"/>
              <w:rPr>
                <w:sz w:val="16"/>
              </w:rPr>
            </w:pPr>
            <w:r>
              <w:rPr>
                <w:sz w:val="16"/>
              </w:rPr>
              <w:t>at constant prices</w:t>
            </w:r>
          </w:p>
        </w:tc>
      </w:tr>
      <w:tr>
        <w:trPr>
          <w:wAfter w:w="0" w:type="dxa"/>
        </w:trPr>
        <w:tc>
          <w:tcPr>
            <w:tcW w:w="3005" w:type="dxa"/>
            <w:vMerge w:val="continue"/>
            <w:tcBorders>
              <w:top w:val="none" w:sz="0" w:space="0" w:shadow="0" w:frame="0"/>
              <w:left w:val="none" w:sz="0" w:space="0" w:shadow="0" w:frame="0"/>
              <w:bottom w:val="single" w:sz="4" w:space="0" w:shadow="0" w:frame="0"/>
              <w:right w:val="single" w:sz="4" w:space="0" w:shadow="0" w:frame="0"/>
            </w:tcBorders>
          </w:tcPr>
          <w:p>
            <w:pPr>
              <w:pStyle w:val="P35"/>
              <w:spacing w:lineRule="auto" w:line="228"/>
              <w:rPr>
                <w:sz w:val="16"/>
              </w:rPr>
            </w:pPr>
          </w:p>
        </w:tc>
        <w:tc>
          <w:tcPr>
            <w:tcW w:w="1191" w:type="dxa"/>
            <w:tcBorders>
              <w:left w:val="single" w:sz="4" w:space="0" w:shadow="0" w:frame="0"/>
              <w:bottom w:val="single" w:sz="4" w:space="0" w:shadow="0" w:frame="0"/>
            </w:tcBorders>
          </w:tcPr>
          <w:p>
            <w:pPr>
              <w:pStyle w:val="P35"/>
              <w:spacing w:before="60"/>
              <w:jc w:val="center"/>
              <w:rPr>
                <w:sz w:val="16"/>
              </w:rPr>
            </w:pPr>
            <w:r>
              <w:rPr>
                <w:sz w:val="16"/>
              </w:rPr>
              <w:t>X</w:t>
            </w:r>
          </w:p>
        </w:tc>
        <w:tc>
          <w:tcPr>
            <w:tcW w:w="1191" w:type="dxa"/>
            <w:tcBorders>
              <w:bottom w:val="single" w:sz="4" w:space="0" w:shadow="0" w:frame="0"/>
            </w:tcBorders>
          </w:tcPr>
          <w:p>
            <w:pPr>
              <w:pStyle w:val="P35"/>
              <w:spacing w:before="60"/>
              <w:jc w:val="center"/>
              <w:rPr>
                <w:sz w:val="16"/>
              </w:rPr>
            </w:pPr>
            <w:r>
              <w:rPr>
                <w:sz w:val="16"/>
              </w:rPr>
              <w:t>XI</w:t>
            </w:r>
          </w:p>
        </w:tc>
        <w:tc>
          <w:tcPr>
            <w:tcW w:w="1191" w:type="dxa"/>
            <w:tcBorders>
              <w:bottom w:val="single" w:sz="4" w:space="0" w:shadow="0" w:frame="0"/>
            </w:tcBorders>
          </w:tcPr>
          <w:p>
            <w:pPr>
              <w:pStyle w:val="P35"/>
              <w:spacing w:before="60"/>
              <w:jc w:val="center"/>
              <w:rPr>
                <w:sz w:val="16"/>
              </w:rPr>
            </w:pPr>
            <w:r>
              <w:rPr>
                <w:sz w:val="16"/>
              </w:rPr>
              <w:t>XII</w:t>
            </w:r>
          </w:p>
        </w:tc>
        <w:tc>
          <w:tcPr>
            <w:tcW w:w="1191" w:type="dxa"/>
            <w:tcBorders>
              <w:bottom w:val="single" w:sz="4" w:space="0" w:shadow="0" w:frame="0"/>
            </w:tcBorders>
          </w:tcPr>
          <w:p>
            <w:pPr>
              <w:pStyle w:val="P35"/>
              <w:spacing w:before="60"/>
              <w:jc w:val="center"/>
              <w:rPr>
                <w:sz w:val="16"/>
              </w:rPr>
            </w:pPr>
            <w:r>
              <w:rPr>
                <w:sz w:val="16"/>
              </w:rPr>
              <w:t>X</w:t>
            </w:r>
          </w:p>
        </w:tc>
        <w:tc>
          <w:tcPr>
            <w:tcW w:w="1191" w:type="dxa"/>
            <w:tcBorders>
              <w:bottom w:val="single" w:sz="4" w:space="0" w:shadow="0" w:frame="0"/>
              <w:right w:val="single" w:sz="4" w:space="0" w:shadow="0" w:frame="0"/>
            </w:tcBorders>
          </w:tcPr>
          <w:p>
            <w:pPr>
              <w:pStyle w:val="P35"/>
              <w:spacing w:before="60"/>
              <w:jc w:val="center"/>
              <w:rPr>
                <w:sz w:val="16"/>
              </w:rPr>
            </w:pPr>
            <w:r>
              <w:rPr>
                <w:sz w:val="16"/>
              </w:rPr>
              <w:t>XI</w:t>
            </w:r>
          </w:p>
        </w:tc>
        <w:tc>
          <w:tcPr>
            <w:tcW w:w="1191" w:type="dxa"/>
            <w:tcBorders>
              <w:top w:val="single" w:sz="4" w:space="0" w:shadow="0" w:frame="0"/>
              <w:left w:val="single" w:sz="4" w:space="0" w:shadow="0" w:frame="0"/>
              <w:bottom w:val="single" w:sz="4" w:space="0" w:shadow="0" w:frame="0"/>
              <w:right w:val="none" w:sz="0" w:space="0" w:shadow="0" w:frame="0"/>
            </w:tcBorders>
          </w:tcPr>
          <w:p>
            <w:pPr>
              <w:pStyle w:val="P35"/>
              <w:spacing w:before="60"/>
              <w:jc w:val="center"/>
              <w:rPr>
                <w:sz w:val="16"/>
              </w:rPr>
            </w:pPr>
            <w:r>
              <w:rPr>
                <w:sz w:val="16"/>
              </w:rPr>
              <w:t>XII</w:t>
            </w:r>
          </w:p>
        </w:tc>
      </w:tr>
      <w:tr>
        <w:trPr>
          <w:wAfter w:w="0" w:type="dxa"/>
        </w:trPr>
        <w:tc>
          <w:tcPr>
            <w:tcW w:w="3005" w:type="dxa"/>
            <w:tcBorders>
              <w:top w:val="single" w:sz="4" w:space="0" w:shadow="0" w:frame="0"/>
              <w:left w:val="none" w:sz="0" w:space="0" w:shadow="0" w:frame="0"/>
              <w:bottom w:val="none" w:sz="0" w:space="0" w:shadow="0" w:frame="0"/>
              <w:right w:val="single" w:sz="4" w:space="0" w:shadow="0" w:frame="0"/>
            </w:tcBorders>
          </w:tcPr>
          <w:p>
            <w:pPr>
              <w:pStyle w:val="P35"/>
              <w:spacing w:lineRule="auto" w:line="228"/>
              <w:rPr>
                <w:sz w:val="16"/>
              </w:rPr>
            </w:pPr>
          </w:p>
        </w:tc>
        <w:tc>
          <w:tcPr>
            <w:tcW w:w="1191" w:type="dxa"/>
            <w:tcBorders>
              <w:top w:val="single" w:sz="4" w:space="0" w:shadow="0" w:frame="0"/>
              <w:left w:val="single" w:sz="4" w:space="0" w:shadow="0" w:frame="0"/>
              <w:bottom w:val="none" w:sz="0" w:space="0" w:shadow="0" w:frame="0"/>
              <w:right w:val="none" w:sz="0" w:space="0" w:shadow="0" w:frame="0"/>
            </w:tcBorders>
          </w:tcPr>
          <w:p>
            <w:pPr>
              <w:pStyle w:val="P35"/>
              <w:ind w:right="144"/>
              <w:jc w:val="right"/>
              <w:rPr>
                <w:sz w:val="16"/>
              </w:rPr>
            </w:pPr>
          </w:p>
        </w:tc>
        <w:tc>
          <w:tcPr>
            <w:tcW w:w="1191" w:type="dxa"/>
            <w:tcBorders>
              <w:top w:val="single" w:sz="4" w:space="0" w:shadow="0" w:frame="0"/>
              <w:left w:val="none" w:sz="0" w:space="0" w:shadow="0" w:frame="0"/>
              <w:bottom w:val="none" w:sz="0" w:space="0" w:shadow="0" w:frame="0"/>
              <w:right w:val="none" w:sz="0" w:space="0" w:shadow="0" w:frame="0"/>
            </w:tcBorders>
          </w:tcPr>
          <w:p>
            <w:pPr>
              <w:pStyle w:val="P35"/>
              <w:ind w:right="144"/>
              <w:jc w:val="right"/>
              <w:rPr>
                <w:sz w:val="16"/>
              </w:rPr>
            </w:pPr>
          </w:p>
        </w:tc>
        <w:tc>
          <w:tcPr>
            <w:tcW w:w="1191" w:type="dxa"/>
            <w:tcBorders>
              <w:top w:val="single" w:sz="4" w:space="0" w:shadow="0" w:frame="0"/>
              <w:left w:val="none" w:sz="0" w:space="0" w:shadow="0" w:frame="0"/>
              <w:bottom w:val="none" w:sz="0" w:space="0" w:shadow="0" w:frame="0"/>
              <w:right w:val="none" w:sz="0" w:space="0" w:shadow="0" w:frame="0"/>
            </w:tcBorders>
          </w:tcPr>
          <w:p>
            <w:pPr>
              <w:pStyle w:val="P35"/>
              <w:ind w:right="144"/>
              <w:jc w:val="right"/>
              <w:rPr>
                <w:sz w:val="16"/>
              </w:rPr>
            </w:pPr>
          </w:p>
        </w:tc>
        <w:tc>
          <w:tcPr>
            <w:tcW w:w="1191" w:type="dxa"/>
            <w:tcBorders>
              <w:top w:val="single" w:sz="4" w:space="0" w:shadow="0" w:frame="0"/>
              <w:left w:val="none" w:sz="0" w:space="0" w:shadow="0" w:frame="0"/>
              <w:bottom w:val="none" w:sz="0" w:space="0" w:shadow="0" w:frame="0"/>
              <w:right w:val="none" w:sz="0" w:space="0" w:shadow="0" w:frame="0"/>
            </w:tcBorders>
          </w:tcPr>
          <w:p>
            <w:pPr>
              <w:pStyle w:val="P35"/>
              <w:ind w:right="144"/>
              <w:jc w:val="right"/>
              <w:rPr>
                <w:sz w:val="16"/>
              </w:rPr>
            </w:pPr>
          </w:p>
        </w:tc>
        <w:tc>
          <w:tcPr>
            <w:tcW w:w="1191" w:type="dxa"/>
            <w:tcBorders>
              <w:top w:val="single" w:sz="4" w:space="0" w:shadow="0" w:frame="0"/>
              <w:left w:val="none" w:sz="0" w:space="0" w:shadow="0" w:frame="0"/>
              <w:bottom w:val="none" w:sz="0" w:space="0" w:shadow="0" w:frame="0"/>
              <w:right w:val="none" w:sz="0" w:space="0" w:shadow="0" w:frame="0"/>
            </w:tcBorders>
          </w:tcPr>
          <w:p>
            <w:pPr>
              <w:pStyle w:val="P35"/>
              <w:ind w:right="144"/>
              <w:jc w:val="right"/>
              <w:rPr>
                <w:sz w:val="16"/>
              </w:rPr>
            </w:pPr>
          </w:p>
        </w:tc>
        <w:tc>
          <w:tcPr>
            <w:tcW w:w="1191" w:type="dxa"/>
            <w:tcBorders>
              <w:top w:val="single" w:sz="4" w:space="0" w:shadow="0" w:frame="0"/>
              <w:left w:val="none" w:sz="0" w:space="0" w:shadow="0" w:frame="0"/>
              <w:bottom w:val="none" w:sz="0" w:space="0" w:shadow="0" w:frame="0"/>
              <w:right w:val="none" w:sz="0" w:space="0" w:shadow="0" w:frame="0"/>
            </w:tcBorders>
          </w:tcPr>
          <w:p>
            <w:pPr>
              <w:pStyle w:val="P35"/>
              <w:ind w:right="144"/>
              <w:jc w:val="right"/>
              <w:rPr>
                <w:sz w:val="16"/>
              </w:rPr>
            </w:pPr>
          </w:p>
        </w:tc>
      </w:tr>
      <w:tr>
        <w:trPr>
          <w:wAfter w:w="0" w:type="dxa"/>
        </w:trPr>
        <w:tc>
          <w:tcPr>
            <w:tcW w:w="3005" w:type="dxa"/>
            <w:tcBorders>
              <w:top w:val="none" w:sz="0" w:space="0" w:shadow="0" w:frame="0"/>
              <w:left w:val="none" w:sz="0" w:space="0" w:shadow="0" w:frame="0"/>
              <w:bottom w:val="none" w:sz="0" w:space="0" w:shadow="0" w:frame="0"/>
              <w:right w:val="single" w:sz="4" w:space="0" w:shadow="0" w:frame="0"/>
            </w:tcBorders>
          </w:tcPr>
          <w:p>
            <w:pPr>
              <w:pStyle w:val="P35"/>
              <w:spacing w:lineRule="auto" w:line="228"/>
              <w:rPr>
                <w:sz w:val="16"/>
              </w:rPr>
            </w:pPr>
            <w:r>
              <w:rPr>
                <w:sz w:val="16"/>
              </w:rPr>
              <w:t>Ø 2011 = 100</w:t>
            </w:r>
          </w:p>
        </w:tc>
        <w:tc>
          <w:tcPr>
            <w:tcW w:w="1191" w:type="dxa"/>
            <w:tcBorders>
              <w:top w:val="none" w:sz="0" w:space="0" w:shadow="0" w:frame="0"/>
              <w:left w:val="single" w:sz="4" w:space="0" w:shadow="0" w:frame="0"/>
              <w:bottom w:val="none" w:sz="0" w:space="0" w:shadow="0" w:frame="0"/>
              <w:right w:val="none" w:sz="0" w:space="0" w:shadow="0" w:frame="0"/>
            </w:tcBorders>
            <w:vAlign w:val="bottom"/>
          </w:tcPr>
          <w:p>
            <w:pPr>
              <w:ind w:right="230"/>
              <w:jc w:val="right"/>
              <w:rPr>
                <w:sz w:val="16"/>
              </w:rPr>
            </w:pPr>
            <w:r>
              <w:rPr>
                <w:sz w:val="16"/>
              </w:rPr>
              <w:t>111,8</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ind w:right="230"/>
              <w:jc w:val="right"/>
              <w:rPr>
                <w:sz w:val="16"/>
              </w:rPr>
            </w:pPr>
            <w:r>
              <w:rPr>
                <w:sz w:val="16"/>
              </w:rPr>
              <w:t>103,9</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ind w:right="230"/>
              <w:jc w:val="right"/>
              <w:rPr>
                <w:sz w:val="16"/>
              </w:rPr>
            </w:pPr>
            <w:r>
              <w:rPr>
                <w:sz w:val="16"/>
              </w:rPr>
              <w:t>113,2</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ind w:right="230"/>
              <w:jc w:val="right"/>
              <w:rPr>
                <w:sz w:val="16"/>
              </w:rPr>
            </w:pPr>
            <w:r>
              <w:rPr>
                <w:sz w:val="16"/>
              </w:rPr>
              <w:t>96,3</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ind w:right="230"/>
              <w:jc w:val="right"/>
              <w:rPr>
                <w:sz w:val="16"/>
              </w:rPr>
            </w:pPr>
            <w:r>
              <w:rPr>
                <w:sz w:val="16"/>
              </w:rPr>
              <w:t>90,1</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ind w:right="230"/>
              <w:jc w:val="right"/>
              <w:rPr>
                <w:sz w:val="16"/>
              </w:rPr>
            </w:pPr>
            <w:r>
              <w:rPr>
                <w:sz w:val="16"/>
              </w:rPr>
              <w:t>98,7</w:t>
            </w:r>
          </w:p>
        </w:tc>
      </w:tr>
      <w:tr>
        <w:trPr>
          <w:wAfter w:w="0" w:type="dxa"/>
        </w:trPr>
        <w:tc>
          <w:tcPr>
            <w:tcW w:w="3005" w:type="dxa"/>
            <w:tcBorders>
              <w:top w:val="none" w:sz="0" w:space="0" w:shadow="0" w:frame="0"/>
              <w:left w:val="none" w:sz="0" w:space="0" w:shadow="0" w:frame="0"/>
              <w:bottom w:val="none" w:sz="0" w:space="0" w:shadow="0" w:frame="0"/>
              <w:right w:val="single" w:sz="4" w:space="0" w:shadow="0" w:frame="0"/>
            </w:tcBorders>
          </w:tcPr>
          <w:p>
            <w:pPr>
              <w:pStyle w:val="P35"/>
              <w:spacing w:lineRule="auto" w:line="228"/>
              <w:ind w:right="-144"/>
              <w:rPr>
                <w:sz w:val="16"/>
              </w:rPr>
            </w:pPr>
            <w:r>
              <w:rPr>
                <w:sz w:val="16"/>
              </w:rPr>
              <w:t>Same month in the previous year = 100</w:t>
            </w:r>
          </w:p>
        </w:tc>
        <w:tc>
          <w:tcPr>
            <w:tcW w:w="1191" w:type="dxa"/>
            <w:tcBorders>
              <w:top w:val="none" w:sz="0" w:space="0" w:shadow="0" w:frame="0"/>
              <w:left w:val="single" w:sz="4" w:space="0" w:shadow="0" w:frame="0"/>
              <w:bottom w:val="none" w:sz="0" w:space="0" w:shadow="0" w:frame="0"/>
              <w:right w:val="none" w:sz="0" w:space="0" w:shadow="0" w:frame="0"/>
            </w:tcBorders>
            <w:vAlign w:val="bottom"/>
          </w:tcPr>
          <w:p>
            <w:pPr>
              <w:ind w:right="230"/>
              <w:jc w:val="right"/>
              <w:rPr>
                <w:sz w:val="16"/>
              </w:rPr>
            </w:pPr>
            <w:r>
              <w:rPr>
                <w:sz w:val="16"/>
              </w:rPr>
              <w:t>101,8</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ind w:right="230"/>
              <w:jc w:val="right"/>
              <w:rPr>
                <w:sz w:val="16"/>
              </w:rPr>
            </w:pPr>
            <w:r>
              <w:rPr>
                <w:sz w:val="16"/>
              </w:rPr>
              <w:t>101,1</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ind w:right="230"/>
              <w:jc w:val="right"/>
              <w:rPr>
                <w:sz w:val="16"/>
              </w:rPr>
            </w:pPr>
            <w:r>
              <w:rPr>
                <w:sz w:val="16"/>
              </w:rPr>
              <w:t>97,9</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ind w:right="230"/>
              <w:jc w:val="right"/>
              <w:rPr>
                <w:sz w:val="16"/>
              </w:rPr>
            </w:pPr>
            <w:r>
              <w:rPr>
                <w:sz w:val="16"/>
              </w:rPr>
              <w:t>89,2</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ind w:right="230"/>
              <w:jc w:val="right"/>
              <w:rPr>
                <w:sz w:val="16"/>
              </w:rPr>
            </w:pPr>
            <w:r>
              <w:rPr>
                <w:sz w:val="16"/>
              </w:rPr>
              <w:t>89,8</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ind w:right="230"/>
              <w:jc w:val="right"/>
              <w:rPr>
                <w:sz w:val="16"/>
              </w:rPr>
            </w:pPr>
            <w:r>
              <w:rPr>
                <w:sz w:val="16"/>
              </w:rPr>
              <w:t>87,2</w:t>
            </w:r>
          </w:p>
        </w:tc>
      </w:tr>
    </w:tbl>
    <w:p/>
    <w:p>
      <w:pPr>
        <w:pStyle w:val="P16"/>
        <w:spacing w:before="120" w:after="0"/>
        <w:ind w:firstLine="397" w:left="0"/>
        <w:jc w:val="both"/>
        <w:rPr>
          <w:sz w:val="18"/>
        </w:rPr>
      </w:pPr>
      <w:r>
        <w:rPr>
          <w:b w:val="1"/>
          <w:sz w:val="18"/>
        </w:rPr>
        <w:t>Methodological Notes:</w:t>
      </w:r>
      <w:r>
        <w:rPr>
          <w:sz w:val="18"/>
        </w:rPr>
        <w:t xml:space="preserve"> The data published in this statistical release were obtained from three regular quarterly surveys relating to: a) wholesale and retail trade of motor vehicles and motorcycles, b) wholesale trade and c) retail trade, which are conducted on a sample of companies. </w:t>
      </w:r>
    </w:p>
    <w:p>
      <w:pPr>
        <w:pStyle w:val="P16"/>
        <w:spacing w:before="120" w:after="0"/>
        <w:ind w:firstLine="397" w:left="0"/>
        <w:jc w:val="both"/>
        <w:rPr>
          <w:sz w:val="18"/>
        </w:rPr>
      </w:pPr>
      <w:r>
        <w:rPr>
          <w:sz w:val="18"/>
        </w:rPr>
        <w:t>The sampling frame comprises all large, medium-sized and randomly selected companies. The estimation includes also certain companies that are not registered under trade as being their principal activity, but have parts dealing with trade.</w:t>
      </w:r>
    </w:p>
    <w:p>
      <w:pPr>
        <w:pStyle w:val="P16"/>
        <w:spacing w:before="120" w:after="0"/>
        <w:ind w:firstLine="397" w:left="0"/>
        <w:jc w:val="both"/>
        <w:rPr>
          <w:sz w:val="18"/>
        </w:rPr>
      </w:pPr>
      <w:r>
        <w:rPr>
          <w:sz w:val="18"/>
        </w:rPr>
        <w:t>In 2011, new standards for the collection and publication of statistical data were used: Classification of Activities (2010) (Official Gazette of RS, 54/2010), Classification of Products by Activities and Nomenclature of Statistical Territorial Units (Official Gazette of RS, 109/09 and 46/10).</w:t>
      </w:r>
    </w:p>
    <w:p>
      <w:pPr>
        <w:pStyle w:val="P16"/>
        <w:spacing w:before="120" w:after="0"/>
        <w:ind w:firstLine="397" w:left="0"/>
        <w:jc w:val="both"/>
        <w:rPr>
          <w:sz w:val="18"/>
        </w:rPr>
      </w:pPr>
      <w:r>
        <w:rPr>
          <w:sz w:val="18"/>
        </w:rPr>
        <w:t>Methodological notes and definitions by trade divisions of the Classification of Activities (CA divisions 45-47) are available on the website of the Statistical Office of the Republic of Serbia (</w:t>
      </w:r>
      <w:r>
        <w:rPr>
          <w:sz w:val="18"/>
          <w:u w:val="single"/>
        </w:rPr>
        <w:t>www.stat.gov.rs</w:t>
      </w:r>
      <w:r>
        <w:rPr>
          <w:sz w:val="18"/>
        </w:rPr>
        <w:t xml:space="preserve">) </w:t>
      </w:r>
    </w:p>
    <w:p>
      <w:pPr>
        <w:pStyle w:val="P16"/>
        <w:spacing w:before="120" w:after="0"/>
        <w:ind w:firstLine="397" w:left="0"/>
        <w:jc w:val="both"/>
        <w:rPr>
          <w:sz w:val="18"/>
        </w:rPr>
      </w:pPr>
      <w:r>
        <w:rPr>
          <w:sz w:val="18"/>
        </w:rPr>
        <w:t>The cited methodology changes should be taken into account when comparing the data published up to 2011.</w:t>
      </w:r>
    </w:p>
    <w:p>
      <w:pPr>
        <w:pStyle w:val="P16"/>
        <w:spacing w:before="120" w:after="0"/>
        <w:ind w:firstLine="397" w:left="0"/>
        <w:jc w:val="both"/>
        <w:rPr>
          <w:sz w:val="18"/>
        </w:rPr>
      </w:pPr>
      <w:r>
        <w:rPr>
          <w:sz w:val="18"/>
        </w:rPr>
        <w:t>Goods turnover includes value added tax (VAT).</w:t>
      </w:r>
    </w:p>
    <w:p>
      <w:pPr>
        <w:pStyle w:val="P16"/>
        <w:spacing w:before="120" w:after="0"/>
        <w:ind w:firstLine="397" w:left="0"/>
        <w:jc w:val="both"/>
        <w:rPr>
          <w:sz w:val="18"/>
        </w:rPr>
      </w:pPr>
      <w:r>
        <w:rPr>
          <w:sz w:val="18"/>
        </w:rPr>
        <w:t>Goods turnover indices at constant prices are obtained by deflating the indices at current prices with appropriate consumer price indices, which exclude: water (from public utilities systems), electricity and motor vehicles, motorcycles and parts thereof.</w:t>
      </w:r>
    </w:p>
    <w:p>
      <w:pPr>
        <w:pStyle w:val="P16"/>
        <w:spacing w:before="120" w:after="0"/>
        <w:ind w:firstLine="397" w:left="0"/>
        <w:jc w:val="both"/>
        <w:rPr>
          <w:sz w:val="18"/>
        </w:rPr>
      </w:pPr>
      <w:r>
        <w:rPr>
          <w:sz w:val="18"/>
        </w:rPr>
        <w:t>Seasonally adjusted retail trade indices at constant prices are published in “Monthly Statistical Review”.</w:t>
      </w:r>
    </w:p>
    <w:p>
      <w:pPr>
        <w:rPr>
          <w:sz w:val="16"/>
        </w:rPr>
      </w:pPr>
    </w:p>
    <w:p>
      <w:pPr>
        <w:ind w:firstLine="397"/>
        <w:rPr>
          <w:sz w:val="18"/>
        </w:rPr>
      </w:pPr>
      <w:r>
        <w:rPr>
          <w:sz w:val="18"/>
        </w:rPr>
        <w:t xml:space="preserve">Starting from 1999 the Statistical Office of the Republic of Serbia has not at disposal and may not provide available certain data relative to AP Kosovo and Metohija and therefore these data are not included in the coverage for the Republic of Serbia (total). </w:t>
      </w:r>
    </w:p>
    <w:p>
      <w:pPr>
        <w:ind w:firstLine="397"/>
        <w:rPr>
          <w:sz w:val="18"/>
        </w:rPr>
      </w:pPr>
    </w:p>
    <w:p>
      <w:pPr>
        <w:ind w:firstLine="397"/>
        <w:rPr>
          <w:sz w:val="18"/>
        </w:rPr>
      </w:pPr>
    </w:p>
    <w:p>
      <w:pPr>
        <w:ind w:firstLine="397"/>
        <w:rPr>
          <w:sz w:val="18"/>
        </w:rPr>
      </w:pPr>
    </w:p>
    <w:p/>
    <w:tbl>
      <w:tblPr>
        <w:tblStyle w:val="T7"/>
        <w:tblpPr w:leftFromText="181" w:rightFromText="181" w:tblpX="1" w:tblpY="14176" w:horzAnchor="margin" w:vertAnchor="page" w:tblpXSpec="center"/>
        <w:tblW w:w="4500" w:type="pct"/>
        <w:tblBorders>
          <w:top w:val="single" w:sz="2" w:space="0" w:shadow="0" w:frame="0" w:color="808080"/>
          <w:left w:val="none" w:sz="0" w:space="0" w:shadow="0" w:frame="0"/>
          <w:bottom w:val="none" w:sz="0" w:space="0" w:shadow="0" w:frame="0"/>
          <w:right w:val="none" w:sz="0" w:space="0" w:shadow="0" w:frame="0"/>
          <w:insideH w:val="none" w:sz="0" w:space="0" w:shadow="0" w:frame="0"/>
          <w:insideV w:val="none" w:sz="0" w:space="0" w:shadow="0" w:frame="0"/>
        </w:tblBorders>
        <w:tblLayout w:type="autofit"/>
      </w:tblPr>
      <w:tblGrid/>
      <w:tr>
        <w:trPr>
          <w:wAfter w:w="0" w:type="dxa"/>
        </w:trPr>
        <w:tc>
          <w:tcPr>
            <w:tcW w:w="9379" w:type="dxa"/>
            <w:tcBorders>
              <w:bottom w:val="none" w:sz="0" w:space="0" w:shadow="0" w:frame="0"/>
              <w:right w:val="none" w:sz="0" w:space="0" w:shadow="0" w:frame="0"/>
            </w:tcBorders>
          </w:tcPr>
          <w:p>
            <w:pPr>
              <w:framePr w:w="0" w:h="0" w:hRule="auto" w:vSpace="0" w:hSpace="0" w:wrap="auto" w:vAnchor="margin" w:hAnchor="text" w:x="0" w:xAlign="left" w:y="0" w:yAlign="inline"/>
              <w:spacing w:before="60"/>
              <w:jc w:val="center"/>
              <w:rPr>
                <w:i w:val="0"/>
                <w:sz w:val="18"/>
              </w:rPr>
            </w:pPr>
            <w:r>
              <w:rPr>
                <w:i w:val="1"/>
                <w:sz w:val="18"/>
              </w:rPr>
              <w:t xml:space="preserve">Published and printed by: Statistical Office of the Republic of Serbia, Milana Rakica 5, Belgrade </w:t>
            </w:r>
          </w:p>
          <w:p>
            <w:pPr>
              <w:framePr w:w="0" w:h="0" w:hRule="auto" w:vSpace="0" w:hSpace="0" w:wrap="auto" w:vAnchor="margin" w:hAnchor="text" w:x="0" w:xAlign="left" w:y="0" w:yAlign="inline"/>
              <w:ind w:left="198" w:right="29"/>
              <w:jc w:val="center"/>
              <w:rPr>
                <w:i w:val="0"/>
                <w:sz w:val="18"/>
              </w:rPr>
            </w:pPr>
            <w:r>
              <w:rPr>
                <w:i w:val="1"/>
                <w:sz w:val="18"/>
              </w:rPr>
              <w:t xml:space="preserve">Phone: +381 11 2412922 ● Fax: +381 11 2411260 ● www.stat.gov.rs </w:t>
            </w:r>
          </w:p>
          <w:p>
            <w:pPr>
              <w:framePr w:w="0" w:h="0" w:hRule="auto" w:vSpace="0" w:hSpace="0" w:wrap="auto" w:vAnchor="margin" w:hAnchor="text" w:x="0" w:xAlign="left" w:y="0" w:yAlign="inline"/>
              <w:ind w:left="198" w:right="29"/>
              <w:jc w:val="center"/>
            </w:pPr>
            <w:r>
              <w:rPr>
                <w:i w:val="1"/>
                <w:sz w:val="18"/>
              </w:rPr>
              <w:t>Responsible: Dragan Vukmirovic, PhD, Director</w:t>
              <w:br w:type="textWrapping"/>
              <w:t xml:space="preserve">Circulation: 20 • </w:t>
            </w:r>
            <w:r>
              <w:t xml:space="preserve"> </w:t>
            </w:r>
            <w:r>
              <w:rPr>
                <w:i w:val="1"/>
              </w:rPr>
              <w:t>Issued</w:t>
            </w:r>
            <w:r>
              <w:t xml:space="preserve"> </w:t>
            </w:r>
            <w:r>
              <w:rPr>
                <w:i w:val="1"/>
                <w:sz w:val="18"/>
              </w:rPr>
              <w:t>quarterly</w:t>
            </w:r>
          </w:p>
          <w:p>
            <w:pPr>
              <w:framePr w:w="0" w:h="0" w:hRule="auto" w:vSpace="0" w:hSpace="0" w:wrap="auto" w:vAnchor="margin" w:hAnchor="text" w:x="0" w:xAlign="left" w:y="0" w:yAlign="inline"/>
              <w:jc w:val="center"/>
              <w:rPr>
                <w:i w:val="0"/>
                <w:sz w:val="2"/>
              </w:rPr>
            </w:pPr>
          </w:p>
        </w:tc>
      </w:tr>
    </w:tbl>
    <w:p/>
    <w:sectPr>
      <w:footerReference xmlns:r="http://schemas.openxmlformats.org/officeDocument/2006/relationships" w:type="default" r:id="RelFtr1"/>
      <w:footerReference xmlns:r="http://schemas.openxmlformats.org/officeDocument/2006/relationships" w:type="even" r:id="RelFtr2"/>
      <w:type w:val="nextPage"/>
      <w:pgSz w:w="11907" w:h="16840" w:code="0"/>
      <w:pgMar w:left="851" w:right="851" w:top="907" w:bottom="907" w:header="720" w:footer="720" w:gutter="0"/>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7"/>
      <w:tblW w:w="0" w:type="auto"/>
      <w:tblBorders>
        <w:top w:val="single" w:sz="4"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autofit"/>
    </w:tblPr>
    <w:tblGrid/>
    <w:tr>
      <w:tc>
        <w:tcPr>
          <w:tcW w:w="5210" w:type="dxa"/>
          <w:tcBorders>
            <w:bottom w:val="none" w:sz="0" w:space="0" w:shadow="0" w:frame="0"/>
            <w:right w:val="none" w:sz="0" w:space="0" w:shadow="0" w:frame="0"/>
          </w:tcBorders>
        </w:tcPr>
        <w:p>
          <w:pPr>
            <w:spacing w:before="120"/>
            <w:rPr>
              <w:i w:val="0"/>
              <w:sz w:val="16"/>
            </w:rPr>
          </w:pPr>
          <w:r>
            <w:rPr>
              <w:i w:val="1"/>
              <w:sz w:val="16"/>
            </w:rPr>
            <w:t>СРБxxx Ознака ddmmgg</w:t>
          </w:r>
        </w:p>
      </w:tc>
      <w:tc>
        <w:tcPr>
          <w:tcW w:w="5211" w:type="dxa"/>
          <w:tcBorders>
            <w:left w:val="none" w:sz="0" w:space="0" w:shadow="0" w:frame="0"/>
            <w:bottom w:val="none" w:sz="0" w:space="0" w:shadow="0" w:frame="0"/>
          </w:tcBorders>
        </w:tcPr>
        <w:p>
          <w:pPr>
            <w:spacing w:before="120"/>
            <w:jc w:val="right"/>
            <w:rPr>
              <w:b w:val="1"/>
              <w:sz w:val="16"/>
            </w:rPr>
          </w:pPr>
          <w:r>
            <w:rPr>
              <w:i w:val="0"/>
              <w:sz w:val="16"/>
            </w:rPr>
            <w:fldChar w:fldCharType="begin"/>
          </w:r>
          <w:r>
            <w:rPr>
              <w:b w:val="1"/>
              <w:sz w:val="16"/>
            </w:rPr>
            <w:instrText xml:space="preserve"> PAGE </w:instrText>
          </w:r>
          <w:r>
            <w:rPr>
              <w:i w:val="0"/>
              <w:sz w:val="16"/>
            </w:rPr>
            <w:fldChar w:fldCharType="separate"/>
          </w:r>
          <w:r>
            <w:rPr>
              <w:b w:val="1"/>
              <w:sz w:val="16"/>
            </w:rPr>
            <w:t>#</w:t>
          </w:r>
          <w:r>
            <w:rPr>
              <w:i w:val="0"/>
              <w:sz w:val="16"/>
            </w:rPr>
            <w:fldChar w:fldCharType="end"/>
          </w:r>
        </w:p>
      </w:tc>
    </w:tr>
  </w:tbl>
  <w:p>
    <w:pPr>
      <w:rPr>
        <w:sz w:val="2"/>
      </w:rPr>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7"/>
      <w:tblW w:w="0" w:type="auto"/>
      <w:tblBorders>
        <w:top w:val="single" w:sz="4"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autofit"/>
    </w:tblPr>
    <w:tblGrid/>
    <w:tr>
      <w:tc>
        <w:tcPr>
          <w:tcW w:w="5210" w:type="dxa"/>
          <w:tcBorders>
            <w:left w:val="none" w:sz="0" w:space="0" w:shadow="0" w:frame="0"/>
            <w:bottom w:val="none" w:sz="0" w:space="0" w:shadow="0" w:frame="0"/>
            <w:right w:val="none" w:sz="0" w:space="0" w:shadow="0" w:frame="0"/>
          </w:tcBorders>
        </w:tcPr>
        <w:p>
          <w:pPr>
            <w:spacing w:before="120"/>
            <w:rPr>
              <w:i w:val="0"/>
              <w:sz w:val="16"/>
            </w:rPr>
          </w:pPr>
          <w:r>
            <w:fldChar w:fldCharType="begin"/>
          </w:r>
          <w:r>
            <w:rPr>
              <w:i w:val="1"/>
              <w:sz w:val="16"/>
            </w:rPr>
            <w:instrText xml:space="preserve"> PAGE </w:instrText>
          </w:r>
          <w:r>
            <w:fldChar w:fldCharType="separate"/>
          </w:r>
          <w:r>
            <w:rPr>
              <w:i w:val="1"/>
              <w:sz w:val="16"/>
            </w:rPr>
            <w:t>#</w:t>
          </w:r>
          <w:r>
            <w:fldChar w:fldCharType="end"/>
          </w:r>
        </w:p>
      </w:tc>
      <w:tc>
        <w:tcPr>
          <w:tcW w:w="5211" w:type="dxa"/>
          <w:tcBorders>
            <w:left w:val="none" w:sz="0" w:space="0" w:shadow="0" w:frame="0"/>
            <w:bottom w:val="none" w:sz="0" w:space="0" w:shadow="0" w:frame="0"/>
          </w:tcBorders>
        </w:tcPr>
        <w:p>
          <w:pPr>
            <w:spacing w:before="120"/>
            <w:jc w:val="right"/>
            <w:rPr>
              <w:b w:val="1"/>
              <w:sz w:val="16"/>
            </w:rPr>
          </w:pPr>
          <w:r>
            <w:rPr>
              <w:b w:val="1"/>
              <w:sz w:val="16"/>
            </w:rPr>
            <w:t>SERB068 PM11 150313</w:t>
          </w:r>
        </w:p>
      </w:tc>
    </w:tr>
  </w:tbl>
  <w:p>
    <w:pPr>
      <w:rPr>
        <w:sz w:val="2"/>
      </w:rPr>
    </w:pPr>
  </w:p>
</w:ftr>
</file>

<file path=word/numbering.xml><?xml version="1.0" encoding="utf-8"?>
<w:numbering xmlns:w="http://schemas.openxmlformats.org/wordprocessingml/2006/main">
  <w:abstractNum w:abstractNumId="0">
    <w:nsid w:val="FFFFFF7C"/>
    <w:multiLevelType w:val="multilevel"/>
    <w:lvl w:ilvl="0">
      <w:start w:val="1"/>
      <w:numFmt w:val="decimal"/>
      <w:suff w:val="tab"/>
      <w:lvlText w:val="%1."/>
      <w:lvlJc w:val="left"/>
      <w:pPr>
        <w:ind w:hanging="360" w:left="1492"/>
        <w:tabs>
          <w:tab w:val="left" w:pos="1492"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7D"/>
    <w:multiLevelType w:val="multilevel"/>
    <w:lvl w:ilvl="0">
      <w:start w:val="1"/>
      <w:numFmt w:val="decimal"/>
      <w:suff w:val="tab"/>
      <w:lvlText w:val="%1."/>
      <w:lvlJc w:val="left"/>
      <w:pPr>
        <w:ind w:hanging="360" w:left="1209"/>
        <w:tabs>
          <w:tab w:val="left" w:pos="1209"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7E"/>
    <w:multiLevelType w:val="multilevel"/>
    <w:lvl w:ilvl="0">
      <w:start w:val="1"/>
      <w:numFmt w:val="decimal"/>
      <w:suff w:val="tab"/>
      <w:lvlText w:val="%1."/>
      <w:lvlJc w:val="left"/>
      <w:pPr>
        <w:ind w:hanging="360" w:left="926"/>
        <w:tabs>
          <w:tab w:val="left" w:pos="926"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FFFFFF7F"/>
    <w:multiLevelType w:val="multilevel"/>
    <w:lvl w:ilvl="0">
      <w:start w:val="1"/>
      <w:numFmt w:val="decimal"/>
      <w:suff w:val="tab"/>
      <w:lvlText w:val="%1."/>
      <w:lvlJc w:val="left"/>
      <w:pPr>
        <w:ind w:hanging="360" w:left="643"/>
        <w:tabs>
          <w:tab w:val="left" w:pos="643"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
    <w:nsid w:val="FFFFFF80"/>
    <w:multiLevelType w:val="hybridMultilevel"/>
    <w:lvl w:ilvl="0" w:tplc="101B6DAE">
      <w:start w:val="1"/>
      <w:numFmt w:val="bullet"/>
      <w:suff w:val="tab"/>
      <w:lvlText w:val=""/>
      <w:lvlJc w:val="left"/>
      <w:pPr>
        <w:ind w:hanging="360" w:left="1492"/>
        <w:tabs>
          <w:tab w:val="left" w:pos="1492"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
    <w:nsid w:val="FFFFFF81"/>
    <w:multiLevelType w:val="hybridMultilevel"/>
    <w:lvl w:ilvl="0" w:tplc="5E7CAE97">
      <w:start w:val="1"/>
      <w:numFmt w:val="bullet"/>
      <w:suff w:val="tab"/>
      <w:lvlText w:val=""/>
      <w:lvlJc w:val="left"/>
      <w:pPr>
        <w:ind w:hanging="360" w:left="1209"/>
        <w:tabs>
          <w:tab w:val="left" w:pos="1209"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
    <w:nsid w:val="FFFFFF82"/>
    <w:multiLevelType w:val="hybridMultilevel"/>
    <w:lvl w:ilvl="0" w:tplc="46AA04FC">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
    <w:nsid w:val="FFFFFF83"/>
    <w:multiLevelType w:val="hybridMultilevel"/>
    <w:lvl w:ilvl="0" w:tplc="2AAA4267">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
    <w:nsid w:val="FFFFFF88"/>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
    <w:nsid w:val="FFFFFF89"/>
    <w:multiLevelType w:val="hybridMultilevel"/>
    <w:lvl w:ilvl="0" w:tplc="11A9701E">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
    <w:nsid w:val="039C1A3B"/>
    <w:multiLevelType w:val="hybridMultilevel"/>
    <w:lvl w:ilvl="0" w:tplc="44D22DAF">
      <w:start w:val="1"/>
      <w:numFmt w:val="bullet"/>
      <w:suff w:val="tab"/>
      <w:lvlText w:val=""/>
      <w:lvlJc w:val="left"/>
      <w:pPr>
        <w:ind w:hanging="360" w:left="1117"/>
        <w:tabs>
          <w:tab w:val="left" w:pos="1117" w:leader="none"/>
        </w:tabs>
      </w:pPr>
      <w:rPr>
        <w:rFonts w:ascii="Symbol" w:hAnsi="Symbol"/>
        <w:sz w:val="16"/>
      </w:rPr>
    </w:lvl>
    <w:lvl w:ilvl="1" w:tplc="4513332C">
      <w:start w:val="1"/>
      <w:numFmt w:val="bullet"/>
      <w:suff w:val="tab"/>
      <w:lvlText w:val="o"/>
      <w:lvlJc w:val="left"/>
      <w:pPr>
        <w:ind w:hanging="360" w:left="1837"/>
        <w:tabs>
          <w:tab w:val="left" w:pos="1837" w:leader="none"/>
        </w:tabs>
      </w:pPr>
      <w:rPr>
        <w:rFonts w:ascii="Courier New" w:hAnsi="Courier New"/>
      </w:rPr>
    </w:lvl>
    <w:lvl w:ilvl="2" w:tplc="4B6D048B">
      <w:start w:val="1"/>
      <w:numFmt w:val="bullet"/>
      <w:suff w:val="tab"/>
      <w:lvlText w:val=""/>
      <w:lvlJc w:val="left"/>
      <w:pPr>
        <w:ind w:hanging="360" w:left="2557"/>
        <w:tabs>
          <w:tab w:val="left" w:pos="2557" w:leader="none"/>
        </w:tabs>
      </w:pPr>
      <w:rPr>
        <w:rFonts w:ascii="Wingdings" w:hAnsi="Wingdings"/>
      </w:rPr>
    </w:lvl>
    <w:lvl w:ilvl="3" w:tplc="06196ECF">
      <w:start w:val="1"/>
      <w:numFmt w:val="bullet"/>
      <w:suff w:val="tab"/>
      <w:lvlText w:val=""/>
      <w:lvlJc w:val="left"/>
      <w:pPr>
        <w:ind w:hanging="360" w:left="3277"/>
        <w:tabs>
          <w:tab w:val="left" w:pos="3277" w:leader="none"/>
        </w:tabs>
      </w:pPr>
      <w:rPr>
        <w:rFonts w:ascii="Symbol" w:hAnsi="Symbol"/>
      </w:rPr>
    </w:lvl>
    <w:lvl w:ilvl="4" w:tplc="2FE4A7FE">
      <w:start w:val="1"/>
      <w:numFmt w:val="bullet"/>
      <w:suff w:val="tab"/>
      <w:lvlText w:val="o"/>
      <w:lvlJc w:val="left"/>
      <w:pPr>
        <w:ind w:hanging="360" w:left="3997"/>
        <w:tabs>
          <w:tab w:val="left" w:pos="3997" w:leader="none"/>
        </w:tabs>
      </w:pPr>
      <w:rPr>
        <w:rFonts w:ascii="Courier New" w:hAnsi="Courier New"/>
      </w:rPr>
    </w:lvl>
    <w:lvl w:ilvl="5" w:tplc="6D0F6FEC">
      <w:start w:val="1"/>
      <w:numFmt w:val="bullet"/>
      <w:suff w:val="tab"/>
      <w:lvlText w:val=""/>
      <w:lvlJc w:val="left"/>
      <w:pPr>
        <w:ind w:hanging="360" w:left="4717"/>
        <w:tabs>
          <w:tab w:val="left" w:pos="4717" w:leader="none"/>
        </w:tabs>
      </w:pPr>
      <w:rPr>
        <w:rFonts w:ascii="Wingdings" w:hAnsi="Wingdings"/>
      </w:rPr>
    </w:lvl>
    <w:lvl w:ilvl="6" w:tplc="0EC70CBE">
      <w:start w:val="1"/>
      <w:numFmt w:val="bullet"/>
      <w:suff w:val="tab"/>
      <w:lvlText w:val=""/>
      <w:lvlJc w:val="left"/>
      <w:pPr>
        <w:ind w:hanging="360" w:left="5437"/>
        <w:tabs>
          <w:tab w:val="left" w:pos="5437" w:leader="none"/>
        </w:tabs>
      </w:pPr>
      <w:rPr>
        <w:rFonts w:ascii="Symbol" w:hAnsi="Symbol"/>
      </w:rPr>
    </w:lvl>
    <w:lvl w:ilvl="7" w:tplc="2A8B77D7">
      <w:start w:val="1"/>
      <w:numFmt w:val="bullet"/>
      <w:suff w:val="tab"/>
      <w:lvlText w:val="o"/>
      <w:lvlJc w:val="left"/>
      <w:pPr>
        <w:ind w:hanging="360" w:left="6157"/>
        <w:tabs>
          <w:tab w:val="left" w:pos="6157" w:leader="none"/>
        </w:tabs>
      </w:pPr>
      <w:rPr>
        <w:rFonts w:ascii="Courier New" w:hAnsi="Courier New"/>
      </w:rPr>
    </w:lvl>
    <w:lvl w:ilvl="8" w:tplc="75F139E4">
      <w:start w:val="1"/>
      <w:numFmt w:val="bullet"/>
      <w:suff w:val="tab"/>
      <w:lvlText w:val=""/>
      <w:lvlJc w:val="left"/>
      <w:pPr>
        <w:ind w:hanging="360" w:left="6877"/>
        <w:tabs>
          <w:tab w:val="left" w:pos="6877" w:leader="none"/>
        </w:tabs>
      </w:pPr>
      <w:rPr>
        <w:rFonts w:ascii="Wingdings" w:hAnsi="Wingdings"/>
      </w:rPr>
    </w:lvl>
  </w:abstractNum>
  <w:abstractNum w:abstractNumId="11">
    <w:nsid w:val="0AE34C7B"/>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2">
    <w:nsid w:val="114D6BE7"/>
    <w:multiLevelType w:val="hybridMultilevel"/>
    <w:lvl w:ilvl="0" w:tplc="59B44BAB">
      <w:start w:val="1"/>
      <w:numFmt w:val="bullet"/>
      <w:suff w:val="tab"/>
      <w:lvlText w:val=""/>
      <w:lvlJc w:val="left"/>
      <w:pPr>
        <w:ind w:hanging="283" w:left="680"/>
        <w:tabs>
          <w:tab w:val="left" w:pos="323" w:leader="none"/>
        </w:tabs>
      </w:pPr>
      <w:rPr>
        <w:rFonts w:ascii="Symbol" w:hAnsi="Symbol"/>
        <w:color w:val="auto"/>
        <w:sz w:val="20"/>
      </w:rPr>
    </w:lvl>
    <w:lvl w:ilvl="1" w:tplc="7F596BC5">
      <w:start w:val="1"/>
      <w:numFmt w:val="bullet"/>
      <w:suff w:val="tab"/>
      <w:lvlText w:val=""/>
      <w:lvlJc w:val="left"/>
      <w:pPr>
        <w:ind w:hanging="284" w:left="851"/>
        <w:tabs>
          <w:tab w:val="left" w:pos="851" w:leader="none"/>
        </w:tabs>
      </w:pPr>
      <w:rPr>
        <w:rFonts w:ascii="Symbol" w:hAnsi="Symbol"/>
        <w:color w:val="auto"/>
      </w:rPr>
    </w:lvl>
    <w:lvl w:ilvl="2" w:tplc="1EE0CE5C">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13">
    <w:nsid w:val="13E14E6D"/>
    <w:multiLevelType w:val="multilevel"/>
    <w:lvl w:ilvl="0">
      <w:start w:val="47"/>
      <w:numFmt w:val="decimal"/>
      <w:suff w:val="tab"/>
      <w:lvlText w:val="%1."/>
      <w:lvlJc w:val="left"/>
      <w:pPr>
        <w:ind w:hanging="360" w:left="720"/>
        <w:tabs>
          <w:tab w:val="left" w:pos="720" w:leader="none"/>
        </w:tabs>
      </w:pPr>
      <w:rPr/>
    </w:lvl>
    <w:lvl w:ilvl="1">
      <w:start w:val="1"/>
      <w:numFmt w:val="decimal"/>
      <w:isLgl w:val="1"/>
      <w:suff w:val="tab"/>
      <w:lvlText w:val="%1.%2"/>
      <w:lvlJc w:val="left"/>
      <w:pPr>
        <w:ind w:hanging="405" w:left="1125"/>
        <w:tabs>
          <w:tab w:val="left" w:pos="1125" w:leader="none"/>
        </w:tabs>
      </w:pPr>
      <w:rPr/>
    </w:lvl>
    <w:lvl w:ilvl="2">
      <w:start w:val="1"/>
      <w:numFmt w:val="decimal"/>
      <w:isLgl w:val="1"/>
      <w:suff w:val="tab"/>
      <w:lvlText w:val="%1.%2.%3"/>
      <w:lvlJc w:val="left"/>
      <w:pPr>
        <w:ind w:hanging="720" w:left="1800"/>
        <w:tabs>
          <w:tab w:val="left" w:pos="1800" w:leader="none"/>
        </w:tabs>
      </w:pPr>
      <w:rPr/>
    </w:lvl>
    <w:lvl w:ilvl="3">
      <w:start w:val="1"/>
      <w:numFmt w:val="decimal"/>
      <w:isLgl w:val="1"/>
      <w:suff w:val="tab"/>
      <w:lvlText w:val="%1.%2.%3.%4"/>
      <w:lvlJc w:val="left"/>
      <w:pPr>
        <w:ind w:hanging="720" w:left="2160"/>
        <w:tabs>
          <w:tab w:val="left" w:pos="2160" w:leader="none"/>
        </w:tabs>
      </w:pPr>
      <w:rPr/>
    </w:lvl>
    <w:lvl w:ilvl="4">
      <w:start w:val="1"/>
      <w:numFmt w:val="decimal"/>
      <w:isLgl w:val="1"/>
      <w:suff w:val="tab"/>
      <w:lvlText w:val="%1.%2.%3.%4.%5"/>
      <w:lvlJc w:val="left"/>
      <w:pPr>
        <w:ind w:hanging="720" w:left="2520"/>
        <w:tabs>
          <w:tab w:val="left" w:pos="2520" w:leader="none"/>
        </w:tabs>
      </w:pPr>
      <w:rPr/>
    </w:lvl>
    <w:lvl w:ilvl="5">
      <w:start w:val="1"/>
      <w:numFmt w:val="decimal"/>
      <w:isLgl w:val="1"/>
      <w:suff w:val="tab"/>
      <w:lvlText w:val="%1.%2.%3.%4.%5.%6"/>
      <w:lvlJc w:val="left"/>
      <w:pPr>
        <w:ind w:hanging="1080" w:left="3240"/>
        <w:tabs>
          <w:tab w:val="left" w:pos="3240" w:leader="none"/>
        </w:tabs>
      </w:pPr>
      <w:rPr/>
    </w:lvl>
    <w:lvl w:ilvl="6">
      <w:start w:val="1"/>
      <w:numFmt w:val="decimal"/>
      <w:isLgl w:val="1"/>
      <w:suff w:val="tab"/>
      <w:lvlText w:val="%1.%2.%3.%4.%5.%6.%7"/>
      <w:lvlJc w:val="left"/>
      <w:pPr>
        <w:ind w:hanging="1080" w:left="3600"/>
        <w:tabs>
          <w:tab w:val="left" w:pos="3600" w:leader="none"/>
        </w:tabs>
      </w:pPr>
      <w:rPr/>
    </w:lvl>
    <w:lvl w:ilvl="7">
      <w:start w:val="1"/>
      <w:numFmt w:val="decimal"/>
      <w:isLgl w:val="1"/>
      <w:suff w:val="tab"/>
      <w:lvlText w:val="%1.%2.%3.%4.%5.%6.%7.%8"/>
      <w:lvlJc w:val="left"/>
      <w:pPr>
        <w:ind w:hanging="1440" w:left="4320"/>
        <w:tabs>
          <w:tab w:val="left" w:pos="4320" w:leader="none"/>
        </w:tabs>
      </w:pPr>
      <w:rPr/>
    </w:lvl>
    <w:lvl w:ilvl="8">
      <w:start w:val="1"/>
      <w:numFmt w:val="decimal"/>
      <w:isLgl w:val="1"/>
      <w:suff w:val="tab"/>
      <w:lvlText w:val="%1.%2.%3.%4.%5.%6.%7.%8.%9"/>
      <w:lvlJc w:val="left"/>
      <w:pPr>
        <w:ind w:hanging="1440" w:left="4680"/>
        <w:tabs>
          <w:tab w:val="left" w:pos="4680" w:leader="none"/>
        </w:tabs>
      </w:pPr>
      <w:rPr/>
    </w:lvl>
  </w:abstractNum>
  <w:abstractNum w:abstractNumId="14">
    <w:nsid w:val="15AE790D"/>
    <w:multiLevelType w:val="multilevel"/>
    <w:lvl w:ilvl="0">
      <w:start w:val="1"/>
      <w:numFmt w:val="decimal"/>
      <w:suff w:val="tab"/>
      <w:lvlText w:val="%1)"/>
      <w:lvlJc w:val="left"/>
      <w:pPr>
        <w:ind w:hanging="283" w:left="680"/>
        <w:tabs>
          <w:tab w:val="left" w:pos="360" w:leader="none"/>
        </w:tabs>
      </w:pPr>
      <w:rPr>
        <w:rFonts w:ascii="Arial" w:hAnsi="Arial"/>
        <w:sz w:val="20"/>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15">
    <w:nsid w:val="289479C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6">
    <w:nsid w:val="32FC1BFC"/>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7">
    <w:nsid w:val="37916F45"/>
    <w:multiLevelType w:val="multilevel"/>
    <w:lvl w:ilvl="0">
      <w:start w:val="1"/>
      <w:numFmt w:val="decimal"/>
      <w:suff w:val="tab"/>
      <w:lvlText w:val="%1)"/>
      <w:lvlJc w:val="left"/>
      <w:pPr>
        <w:ind w:hanging="360" w:left="360"/>
        <w:tabs>
          <w:tab w:val="left" w:pos="360" w:leader="none"/>
        </w:tabs>
      </w:pPr>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18">
    <w:nsid w:val="37BC7852"/>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9">
    <w:nsid w:val="39261BEA"/>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0">
    <w:nsid w:val="3CD91FB7"/>
    <w:multiLevelType w:val="hybridMultilevel"/>
    <w:lvl w:ilvl="0">
      <w:start w:val="1"/>
      <w:numFmt w:val="decimal"/>
      <w:suff w:val="tab"/>
      <w:lvlText w:val="%1)"/>
      <w:lvlJc w:val="left"/>
      <w:pPr>
        <w:ind w:hanging="360" w:left="360"/>
        <w:tabs>
          <w:tab w:val="left" w:pos="360" w:leader="none"/>
        </w:tabs>
      </w:pPr>
      <w:rPr/>
    </w:lvl>
    <w:lvl w:ilvl="1" w:tplc="12AC84C7">
      <w:start w:val="1"/>
      <w:numFmt w:val="bullet"/>
      <w:suff w:val="tab"/>
      <w:lvlText w:val=""/>
      <w:lvlJc w:val="left"/>
      <w:pPr>
        <w:ind w:hanging="360" w:left="720"/>
        <w:tabs>
          <w:tab w:val="left" w:pos="720" w:leader="none"/>
        </w:tabs>
      </w:pPr>
      <w:rPr>
        <w:rFonts w:ascii="Symbol" w:hAnsi="Symbol"/>
        <w:color w:val="auto"/>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21">
    <w:nsid w:val="3D59343A"/>
    <w:multiLevelType w:val="hybridMultilevel"/>
    <w:lvl w:ilvl="0" w:tplc="5D8E0CD2">
      <w:start w:val="1"/>
      <w:numFmt w:val="bullet"/>
      <w:suff w:val="tab"/>
      <w:lvlText w:val=""/>
      <w:lvlJc w:val="left"/>
      <w:pPr>
        <w:ind w:hanging="283" w:left="680"/>
        <w:tabs>
          <w:tab w:val="left" w:pos="323" w:leader="none"/>
        </w:tabs>
      </w:pPr>
      <w:rPr>
        <w:rFonts w:ascii="Symbol" w:hAnsi="Symbol"/>
        <w:color w:val="auto"/>
        <w:sz w:val="20"/>
      </w:rPr>
    </w:lvl>
    <w:lvl w:ilvl="1" w:tplc="4125E4EC">
      <w:start w:val="1"/>
      <w:numFmt w:val="bullet"/>
      <w:suff w:val="tab"/>
      <w:lvlText w:val=""/>
      <w:lvlJc w:val="left"/>
      <w:pPr>
        <w:ind w:hanging="284" w:left="851"/>
        <w:tabs>
          <w:tab w:val="left" w:pos="851" w:leader="none"/>
        </w:tabs>
      </w:pPr>
      <w:rPr>
        <w:rFonts w:ascii="Symbol" w:hAnsi="Symbol"/>
        <w:color w:val="auto"/>
      </w:rPr>
    </w:lvl>
    <w:lvl w:ilvl="2" w:tplc="06271158">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2">
    <w:nsid w:val="3E6E3703"/>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3">
    <w:nsid w:val="40EB474F"/>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4">
    <w:nsid w:val="4164600F"/>
    <w:multiLevelType w:val="multilevel"/>
    <w:lvl w:ilvl="0">
      <w:start w:val="1"/>
      <w:numFmt w:val="decimal"/>
      <w:suff w:val="tab"/>
      <w:lvlText w:val="%1"/>
      <w:lvlJc w:val="left"/>
      <w:pPr>
        <w:ind w:hanging="360" w:left="363"/>
        <w:tabs>
          <w:tab w:val="left" w:pos="360" w:leader="none"/>
        </w:tabs>
      </w:pPr>
      <w:rPr>
        <w:rFonts w:ascii="Arial" w:hAnsi="Arial"/>
        <w:b w:val="1"/>
        <w:sz w:val="20"/>
      </w:rPr>
    </w:lvl>
    <w:lvl w:ilvl="1">
      <w:start w:val="1"/>
      <w:numFmt w:val="decimal"/>
      <w:suff w:val="tab"/>
      <w:lvlText w:val="%1.%2"/>
      <w:lvlJc w:val="left"/>
      <w:pPr>
        <w:ind w:hanging="360" w:left="360"/>
        <w:tabs>
          <w:tab w:val="left" w:pos="360" w:leader="none"/>
        </w:tabs>
      </w:pPr>
      <w:rPr/>
    </w:lvl>
    <w:lvl w:ilvl="2">
      <w:start w:val="1"/>
      <w:numFmt w:val="decimal"/>
      <w:suff w:val="tab"/>
      <w:lvlText w:val="%1.%2.%3"/>
      <w:lvlJc w:val="left"/>
      <w:pPr>
        <w:ind w:hanging="720" w:left="720"/>
        <w:tabs>
          <w:tab w:val="left" w:pos="720" w:leader="none"/>
        </w:tabs>
      </w:pPr>
      <w:rPr/>
    </w:lvl>
    <w:lvl w:ilvl="3">
      <w:start w:val="1"/>
      <w:numFmt w:val="decimal"/>
      <w:suff w:val="tab"/>
      <w:lvlText w:val="%1.%2.%3.%4"/>
      <w:lvlJc w:val="left"/>
      <w:pPr>
        <w:ind w:hanging="720" w:left="720"/>
        <w:tabs>
          <w:tab w:val="left" w:pos="720" w:leader="none"/>
        </w:tabs>
      </w:pPr>
      <w:rPr/>
    </w:lvl>
    <w:lvl w:ilvl="4">
      <w:start w:val="1"/>
      <w:numFmt w:val="decimal"/>
      <w:suff w:val="tab"/>
      <w:lvlText w:val="%1.%2.%3.%4.%5"/>
      <w:lvlJc w:val="left"/>
      <w:pPr>
        <w:ind w:hanging="1080" w:left="1080"/>
        <w:tabs>
          <w:tab w:val="left" w:pos="1080" w:leader="none"/>
        </w:tabs>
      </w:pPr>
      <w:rPr/>
    </w:lvl>
    <w:lvl w:ilvl="5">
      <w:start w:val="1"/>
      <w:numFmt w:val="decimal"/>
      <w:suff w:val="tab"/>
      <w:lvlText w:val="%1.%2.%3.%4.%5.%6"/>
      <w:lvlJc w:val="left"/>
      <w:pPr>
        <w:ind w:hanging="1080" w:left="1080"/>
        <w:tabs>
          <w:tab w:val="left" w:pos="1080" w:leader="none"/>
        </w:tabs>
      </w:pPr>
      <w:rPr/>
    </w:lvl>
    <w:lvl w:ilvl="6">
      <w:start w:val="1"/>
      <w:numFmt w:val="decimal"/>
      <w:suff w:val="tab"/>
      <w:lvlText w:val="%1.%2.%3.%4.%5.%6.%7"/>
      <w:lvlJc w:val="left"/>
      <w:pPr>
        <w:ind w:hanging="1440" w:left="1440"/>
        <w:tabs>
          <w:tab w:val="left" w:pos="1440" w:leader="none"/>
        </w:tabs>
      </w:pPr>
      <w:rPr/>
    </w:lvl>
    <w:lvl w:ilvl="7">
      <w:start w:val="1"/>
      <w:numFmt w:val="decimal"/>
      <w:suff w:val="tab"/>
      <w:lvlText w:val="%1.%2.%3.%4.%5.%6.%7.%8"/>
      <w:lvlJc w:val="left"/>
      <w:pPr>
        <w:ind w:hanging="1440" w:left="1440"/>
        <w:tabs>
          <w:tab w:val="left" w:pos="1440" w:leader="none"/>
        </w:tabs>
      </w:pPr>
      <w:rPr/>
    </w:lvl>
    <w:lvl w:ilvl="8">
      <w:start w:val="1"/>
      <w:numFmt w:val="decimal"/>
      <w:suff w:val="tab"/>
      <w:lvlText w:val="%1.%2.%3.%4.%5.%6.%7.%8.%9"/>
      <w:lvlJc w:val="left"/>
      <w:pPr>
        <w:ind w:hanging="1800" w:left="1800"/>
        <w:tabs>
          <w:tab w:val="left" w:pos="1800" w:leader="none"/>
        </w:tabs>
      </w:pPr>
      <w:rPr/>
    </w:lvl>
  </w:abstractNum>
  <w:abstractNum w:abstractNumId="25">
    <w:nsid w:val="459470E3"/>
    <w:multiLevelType w:val="hybridMultilevel"/>
    <w:lvl w:ilvl="0" w:tplc="0C9AE019">
      <w:start w:val="1"/>
      <w:numFmt w:val="bullet"/>
      <w:suff w:val="tab"/>
      <w:lvlText w:val=""/>
      <w:lvlJc w:val="left"/>
      <w:pPr>
        <w:ind w:hanging="283" w:left="680"/>
        <w:tabs>
          <w:tab w:val="left" w:pos="323" w:leader="none"/>
        </w:tabs>
      </w:pPr>
      <w:rPr>
        <w:rFonts w:ascii="Symbol" w:hAnsi="Symbol"/>
        <w:color w:val="auto"/>
        <w:sz w:val="20"/>
      </w:rPr>
    </w:lvl>
    <w:lvl w:ilvl="1" w:tplc="641E008F">
      <w:start w:val="1"/>
      <w:numFmt w:val="bullet"/>
      <w:suff w:val="tab"/>
      <w:lvlText w:val=""/>
      <w:lvlJc w:val="left"/>
      <w:pPr>
        <w:ind w:hanging="284" w:left="851"/>
        <w:tabs>
          <w:tab w:val="left" w:pos="851" w:leader="none"/>
        </w:tabs>
      </w:pPr>
      <w:rPr>
        <w:rFonts w:ascii="Symbol" w:hAnsi="Symbol"/>
        <w:color w:val="auto"/>
      </w:rPr>
    </w:lvl>
    <w:lvl w:ilvl="2" w:tplc="332D7B6C">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6">
    <w:nsid w:val="4B3A34D7"/>
    <w:multiLevelType w:val="hybridMultilevel"/>
    <w:lvl w:ilvl="0" w:tplc="5E483F88">
      <w:start w:val="1"/>
      <w:numFmt w:val="bullet"/>
      <w:suff w:val="tab"/>
      <w:lvlText w:val=""/>
      <w:lvlJc w:val="left"/>
      <w:pPr>
        <w:ind w:hanging="283" w:left="680"/>
        <w:tabs>
          <w:tab w:val="left" w:pos="323" w:leader="none"/>
        </w:tabs>
      </w:pPr>
      <w:rPr>
        <w:rFonts w:ascii="Symbol" w:hAnsi="Symbol"/>
        <w:color w:val="auto"/>
        <w:sz w:val="20"/>
      </w:rPr>
    </w:lvl>
    <w:lvl w:ilvl="1" w:tplc="7C457DFB">
      <w:start w:val="1"/>
      <w:numFmt w:val="bullet"/>
      <w:suff w:val="tab"/>
      <w:lvlText w:val=""/>
      <w:lvlJc w:val="left"/>
      <w:pPr>
        <w:ind w:hanging="284" w:left="851"/>
        <w:tabs>
          <w:tab w:val="left" w:pos="851" w:leader="none"/>
        </w:tabs>
      </w:pPr>
      <w:rPr>
        <w:rFonts w:ascii="Symbol" w:hAnsi="Symbol"/>
        <w:color w:val="auto"/>
      </w:rPr>
    </w:lvl>
    <w:lvl w:ilvl="2" w:tplc="6B7CA458">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7">
    <w:nsid w:val="5311730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8">
    <w:nsid w:val="5B4A5D26"/>
    <w:multiLevelType w:val="hybridMultilevel"/>
    <w:lvl w:ilvl="0" w:tplc="77747F17">
      <w:start w:val="1"/>
      <w:numFmt w:val="bullet"/>
      <w:suff w:val="tab"/>
      <w:lvlText w:val=""/>
      <w:lvlJc w:val="left"/>
      <w:pPr>
        <w:ind w:hanging="283" w:left="680"/>
        <w:tabs>
          <w:tab w:val="left" w:pos="323" w:leader="none"/>
        </w:tabs>
      </w:pPr>
      <w:rPr>
        <w:rFonts w:ascii="Symbol" w:hAnsi="Symbol"/>
        <w:color w:val="auto"/>
        <w:sz w:val="20"/>
      </w:rPr>
    </w:lvl>
    <w:lvl w:ilvl="1" w:tplc="0CDFF0BB">
      <w:start w:val="1"/>
      <w:numFmt w:val="bullet"/>
      <w:suff w:val="tab"/>
      <w:lvlText w:val=""/>
      <w:lvlJc w:val="left"/>
      <w:pPr>
        <w:ind w:hanging="284" w:left="851"/>
        <w:tabs>
          <w:tab w:val="left" w:pos="851" w:leader="none"/>
        </w:tabs>
      </w:pPr>
      <w:rPr>
        <w:rFonts w:ascii="Symbol" w:hAnsi="Symbol"/>
        <w:color w:val="auto"/>
      </w:rPr>
    </w:lvl>
    <w:lvl w:ilvl="2" w:tplc="7967A4E0">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9">
    <w:nsid w:val="5FB572F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30">
    <w:nsid w:val="6AF80680"/>
    <w:multiLevelType w:val="multilevel"/>
    <w:lvl w:ilvl="0">
      <w:start w:val="1"/>
      <w:numFmt w:val="decimal"/>
      <w:suff w:val="tab"/>
      <w:lvlText w:val="%1)"/>
      <w:lvlJc w:val="left"/>
      <w:pPr>
        <w:ind w:hanging="283" w:left="680"/>
        <w:tabs>
          <w:tab w:val="left" w:pos="360" w:leader="none"/>
        </w:tabs>
      </w:pPr>
      <w:rPr>
        <w:rFonts w:ascii="Arial" w:hAnsi="Arial"/>
        <w:sz w:val="20"/>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31">
    <w:nsid w:val="72087AF4"/>
    <w:multiLevelType w:val="hybridMultilevel"/>
    <w:lvl w:ilvl="0">
      <w:start w:val="1"/>
      <w:numFmt w:val="decimal"/>
      <w:suff w:val="tab"/>
      <w:lvlText w:val="%1)"/>
      <w:lvlJc w:val="left"/>
      <w:pPr>
        <w:ind w:hanging="360" w:left="360"/>
        <w:tabs>
          <w:tab w:val="left" w:pos="360" w:leader="none"/>
        </w:tabs>
      </w:pPr>
      <w:rPr/>
    </w:lvl>
    <w:lvl w:ilvl="1" w:tplc="1DFDA250">
      <w:start w:val="1"/>
      <w:numFmt w:val="bullet"/>
      <w:suff w:val="tab"/>
      <w:lvlText w:val=""/>
      <w:lvlJc w:val="left"/>
      <w:pPr>
        <w:ind w:hanging="360" w:left="720"/>
        <w:tabs>
          <w:tab w:val="left" w:pos="720" w:leader="none"/>
        </w:tabs>
      </w:pPr>
      <w:rPr>
        <w:rFonts w:ascii="Symbol" w:hAnsi="Symbol"/>
        <w:color w:val="auto"/>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num w:numId="1">
    <w:abstractNumId w:val="7"/>
  </w:num>
  <w:num w:numId="2">
    <w:abstractNumId w:val="8"/>
  </w:num>
  <w:num w:numId="3">
    <w:abstractNumId w:val="9"/>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17"/>
  </w:num>
  <w:num w:numId="12">
    <w:abstractNumId w:val="24"/>
  </w:num>
  <w:num w:numId="13">
    <w:abstractNumId w:val="8"/>
  </w:num>
  <w:num w:numId="14">
    <w:abstractNumId w:val="28"/>
  </w:num>
  <w:num w:numId="15">
    <w:abstractNumId w:val="26"/>
  </w:num>
  <w:num w:numId="16">
    <w:abstractNumId w:val="12"/>
  </w:num>
  <w:num w:numId="17">
    <w:abstractNumId w:val="14"/>
  </w:num>
  <w:num w:numId="18">
    <w:abstractNumId w:val="31"/>
  </w:num>
  <w:num w:numId="19">
    <w:abstractNumId w:val="23"/>
  </w:num>
  <w:num w:numId="20">
    <w:abstractNumId w:val="20"/>
  </w:num>
  <w:num w:numId="21">
    <w:abstractNumId w:val="30"/>
  </w:num>
  <w:num w:numId="22">
    <w:abstractNumId w:val="25"/>
  </w:num>
  <w:num w:numId="23">
    <w:abstractNumId w:val="22"/>
  </w:num>
  <w:num w:numId="24">
    <w:abstractNumId w:val="16"/>
  </w:num>
  <w:num w:numId="25">
    <w:abstractNumId w:val="15"/>
  </w:num>
  <w:num w:numId="26">
    <w:abstractNumId w:val="18"/>
  </w:num>
  <w:num w:numId="27">
    <w:abstractNumId w:val="29"/>
  </w:num>
  <w:num w:numId="28">
    <w:abstractNumId w:val="11"/>
  </w:num>
  <w:num w:numId="29">
    <w:abstractNumId w:val="27"/>
  </w:num>
  <w:num w:numId="30">
    <w:abstractNumId w:val="21"/>
  </w:num>
  <w:num w:numId="31">
    <w:abstractNumId w:val="19"/>
  </w:num>
  <w:num w:numId="32">
    <w:abstractNumId w:val="10"/>
  </w:num>
  <w:num w:numId="33">
    <w:abstractNumId w:val="13"/>
  </w:num>
</w:numbering>
</file>

<file path=word/settings.xml><?xml version="1.0" encoding="utf-8"?>
<w:settings xmlns:w="http://schemas.openxmlformats.org/wordprocessingml/2006/main">
  <w:displayBackgroundShape w:val="0"/>
  <w:documentProtection w:edit="readOnly" w:enforcement="1"/>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rFonts w:ascii="Arial" w:hAnsi="Arial"/>
      <w:sz w:val="20"/>
    </w:rPr>
  </w:style>
  <w:style w:type="paragraph" w:styleId="P1">
    <w:name w:val="Style1"/>
    <w:next w:val="P1"/>
    <w:pPr/>
    <w:rPr>
      <w:rFonts w:ascii="Arial" w:hAnsi="Arial"/>
    </w:rPr>
  </w:style>
  <w:style w:type="paragraph" w:styleId="P2">
    <w:name w:val="Heading 1"/>
    <w:basedOn w:val="P0"/>
    <w:next w:val="P0"/>
    <w:pPr>
      <w:keepNext w:val="1"/>
      <w:spacing w:before="240" w:after="60"/>
      <w:outlineLvl w:val="0"/>
    </w:pPr>
    <w:rPr>
      <w:rFonts w:ascii="Arial" w:hAnsi="Arial"/>
      <w:b w:val="1"/>
      <w:sz w:val="32"/>
    </w:rPr>
  </w:style>
  <w:style w:type="paragraph" w:styleId="P3">
    <w:name w:val="Heading 2"/>
    <w:basedOn w:val="P0"/>
    <w:next w:val="P0"/>
    <w:pPr>
      <w:keepNext w:val="1"/>
      <w:spacing w:before="240" w:after="60"/>
      <w:outlineLvl w:val="1"/>
    </w:pPr>
    <w:rPr>
      <w:rFonts w:ascii="Arial" w:hAnsi="Arial"/>
      <w:b w:val="1"/>
      <w:i w:val="1"/>
      <w:sz w:val="28"/>
    </w:rPr>
  </w:style>
  <w:style w:type="paragraph" w:styleId="P4">
    <w:name w:val="Heading 3"/>
    <w:basedOn w:val="P0"/>
    <w:next w:val="P0"/>
    <w:pPr>
      <w:keepNext w:val="1"/>
      <w:spacing w:before="240" w:after="60"/>
      <w:outlineLvl w:val="2"/>
    </w:pPr>
    <w:rPr>
      <w:rFonts w:ascii="Arial" w:hAnsi="Arial"/>
      <w:b w:val="1"/>
      <w:sz w:val="26"/>
    </w:rPr>
  </w:style>
  <w:style w:type="paragraph" w:styleId="P5">
    <w:name w:val="Heading 5"/>
    <w:basedOn w:val="P0"/>
    <w:next w:val="P0"/>
    <w:pPr>
      <w:spacing w:before="240" w:after="60"/>
      <w:outlineLvl w:val="4"/>
    </w:pPr>
    <w:rPr>
      <w:b w:val="1"/>
      <w:i w:val="1"/>
      <w:sz w:val="26"/>
    </w:rPr>
  </w:style>
  <w:style w:type="paragraph" w:styleId="P6">
    <w:name w:val="Heading 6"/>
    <w:basedOn w:val="P0"/>
    <w:next w:val="P0"/>
    <w:pPr>
      <w:spacing w:before="240" w:after="60"/>
      <w:outlineLvl w:val="5"/>
    </w:pPr>
    <w:rPr>
      <w:rFonts w:ascii="Times New Roman" w:hAnsi="Times New Roman"/>
      <w:b w:val="1"/>
      <w:sz w:val="22"/>
    </w:rPr>
  </w:style>
  <w:style w:type="paragraph" w:styleId="P7">
    <w:name w:val="Heading 7"/>
    <w:basedOn w:val="P0"/>
    <w:next w:val="P0"/>
    <w:pPr>
      <w:spacing w:before="240" w:after="60"/>
      <w:outlineLvl w:val="6"/>
    </w:pPr>
    <w:rPr/>
  </w:style>
  <w:style w:type="paragraph" w:styleId="P8">
    <w:name w:val="Heading 8"/>
    <w:basedOn w:val="P0"/>
    <w:next w:val="P0"/>
    <w:pPr>
      <w:keepNext w:val="1"/>
      <w:jc w:val="center"/>
      <w:outlineLvl w:val="7"/>
    </w:pPr>
    <w:rPr>
      <w:b w:val="1"/>
      <w:sz w:val="26"/>
    </w:rPr>
  </w:style>
  <w:style w:type="paragraph" w:styleId="P9">
    <w:name w:val="Title"/>
    <w:basedOn w:val="P0"/>
    <w:next w:val="P9"/>
    <w:pPr>
      <w:spacing w:before="240" w:after="60"/>
      <w:jc w:val="center"/>
      <w:outlineLvl w:val="0"/>
    </w:pPr>
    <w:rPr>
      <w:rFonts w:ascii="Arial" w:hAnsi="Arial"/>
      <w:b w:val="1"/>
      <w:sz w:val="32"/>
    </w:rPr>
  </w:style>
  <w:style w:type="paragraph" w:styleId="P10">
    <w:name w:val="Caption"/>
    <w:basedOn w:val="P0"/>
    <w:next w:val="P0"/>
    <w:pPr/>
    <w:rPr>
      <w:b w:val="1"/>
      <w:sz w:val="20"/>
    </w:rPr>
  </w:style>
  <w:style w:type="paragraph" w:styleId="P11">
    <w:name w:val="Podnaslov sopstenja"/>
    <w:basedOn w:val="P0"/>
    <w:next w:val="P11"/>
    <w:pPr>
      <w:spacing w:after="120"/>
      <w:jc w:val="center"/>
    </w:pPr>
    <w:rPr>
      <w:b w:val="1"/>
      <w:sz w:val="22"/>
    </w:rPr>
  </w:style>
  <w:style w:type="paragraph" w:styleId="P12">
    <w:name w:val="Subtitle"/>
    <w:basedOn w:val="P0"/>
    <w:next w:val="P12"/>
    <w:pPr>
      <w:spacing w:after="60"/>
      <w:jc w:val="center"/>
      <w:outlineLvl w:val="1"/>
    </w:pPr>
    <w:rPr>
      <w:rFonts w:ascii="Arial" w:hAnsi="Arial"/>
    </w:rPr>
  </w:style>
  <w:style w:type="paragraph" w:styleId="P13">
    <w:name w:val="Naslov Metodologija i Napomena"/>
    <w:basedOn w:val="P0"/>
    <w:next w:val="P13"/>
    <w:pPr>
      <w:spacing w:before="120" w:after="240"/>
      <w:jc w:val="center"/>
    </w:pPr>
    <w:rPr>
      <w:b w:val="1"/>
    </w:rPr>
  </w:style>
  <w:style w:type="paragraph" w:styleId="P14">
    <w:name w:val="Body Text"/>
    <w:basedOn w:val="P0"/>
    <w:next w:val="P14"/>
    <w:pPr>
      <w:spacing w:after="120"/>
    </w:pPr>
    <w:rPr/>
  </w:style>
  <w:style w:type="paragraph" w:styleId="P15">
    <w:name w:val="List Number"/>
    <w:basedOn w:val="P0"/>
    <w:next w:val="P15"/>
    <w:pPr>
      <w:numPr>
        <w:numId w:val="13"/>
      </w:numPr>
    </w:pPr>
    <w:rPr/>
  </w:style>
  <w:style w:type="paragraph" w:styleId="P16">
    <w:name w:val="Body Text Indent"/>
    <w:basedOn w:val="P0"/>
    <w:next w:val="P16"/>
    <w:pPr>
      <w:spacing w:after="120"/>
      <w:ind w:left="283"/>
    </w:pPr>
    <w:rPr/>
  </w:style>
  <w:style w:type="paragraph" w:styleId="P17">
    <w:name w:val="Body Text Indent 2"/>
    <w:basedOn w:val="P0"/>
    <w:next w:val="P17"/>
    <w:pPr>
      <w:spacing w:lineRule="auto" w:line="480" w:after="120"/>
      <w:ind w:left="283"/>
    </w:pPr>
    <w:rPr/>
  </w:style>
  <w:style w:type="paragraph" w:styleId="P18">
    <w:name w:val="Body Text 3"/>
    <w:basedOn w:val="P0"/>
    <w:next w:val="P18"/>
    <w:pPr>
      <w:spacing w:after="120"/>
    </w:pPr>
    <w:rPr>
      <w:sz w:val="16"/>
    </w:rPr>
  </w:style>
  <w:style w:type="paragraph" w:styleId="P19">
    <w:name w:val="Body Text Indent 3"/>
    <w:basedOn w:val="P0"/>
    <w:next w:val="P19"/>
    <w:pPr>
      <w:spacing w:after="120"/>
      <w:ind w:left="283"/>
    </w:pPr>
    <w:rPr>
      <w:sz w:val="16"/>
    </w:rPr>
  </w:style>
  <w:style w:type="paragraph" w:styleId="P20">
    <w:name w:val="Balloon Text"/>
    <w:basedOn w:val="P0"/>
    <w:next w:val="P20"/>
    <w:pPr/>
    <w:rPr>
      <w:rFonts w:ascii="Tahoma" w:hAnsi="Tahoma"/>
      <w:sz w:val="16"/>
    </w:rPr>
  </w:style>
  <w:style w:type="paragraph" w:styleId="P21">
    <w:name w:val="Body Text 2"/>
    <w:basedOn w:val="P0"/>
    <w:next w:val="P21"/>
    <w:pPr>
      <w:spacing w:lineRule="auto" w:line="480" w:after="120"/>
    </w:pPr>
    <w:rPr/>
  </w:style>
  <w:style w:type="paragraph" w:styleId="P22">
    <w:name w:val="Normal Indent"/>
    <w:basedOn w:val="P0"/>
    <w:next w:val="P22"/>
    <w:pPr>
      <w:ind w:left="720"/>
    </w:pPr>
    <w:rPr/>
  </w:style>
  <w:style w:type="paragraph" w:styleId="P23">
    <w:name w:val="Naslov tabela"/>
    <w:basedOn w:val="P0"/>
    <w:next w:val="P23"/>
    <w:pPr>
      <w:numPr>
        <w:numId w:val="13"/>
      </w:numPr>
      <w:tabs>
        <w:tab w:val="left" w:pos="284" w:leader="none"/>
        <w:tab w:val="clear" w:pos="360" w:leader="none"/>
      </w:tabs>
      <w:spacing w:before="120" w:after="120"/>
      <w:ind w:hanging="284" w:left="284"/>
      <w:jc w:val="center"/>
    </w:pPr>
    <w:rPr>
      <w:b w:val="1"/>
    </w:rPr>
  </w:style>
  <w:style w:type="paragraph" w:styleId="P24">
    <w:name w:val="Tabela-Zaglavlje"/>
    <w:basedOn w:val="P0"/>
    <w:next w:val="P24"/>
    <w:pPr>
      <w:jc w:val="center"/>
    </w:pPr>
    <w:rPr>
      <w:rFonts w:ascii="Arial" w:hAnsi="Arial"/>
      <w:sz w:val="16"/>
    </w:rPr>
  </w:style>
  <w:style w:type="paragraph" w:styleId="P25">
    <w:name w:val="Tabela-Pretkolona"/>
    <w:basedOn w:val="P0"/>
    <w:next w:val="P25"/>
    <w:pPr/>
    <w:rPr>
      <w:rFonts w:ascii="Arial" w:hAnsi="Arial"/>
      <w:sz w:val="16"/>
    </w:rPr>
  </w:style>
  <w:style w:type="paragraph" w:styleId="P26">
    <w:name w:val="Tabela-PretkolonaI"/>
    <w:basedOn w:val="P0"/>
    <w:next w:val="P26"/>
    <w:pPr/>
    <w:rPr>
      <w:rFonts w:ascii="Arial" w:hAnsi="Arial"/>
      <w:i w:val="1"/>
      <w:sz w:val="16"/>
    </w:rPr>
  </w:style>
  <w:style w:type="paragraph" w:styleId="P27">
    <w:name w:val="Tabela-PretkolonaB"/>
    <w:basedOn w:val="P0"/>
    <w:next w:val="P27"/>
    <w:pPr/>
    <w:rPr>
      <w:rFonts w:ascii="Arial" w:hAnsi="Arial"/>
      <w:b w:val="1"/>
      <w:sz w:val="16"/>
    </w:rPr>
  </w:style>
  <w:style w:type="paragraph" w:styleId="P28">
    <w:name w:val="Tabela-Brojevi"/>
    <w:basedOn w:val="P0"/>
    <w:next w:val="P28"/>
    <w:pPr>
      <w:jc w:val="right"/>
    </w:pPr>
    <w:rPr>
      <w:rFonts w:ascii="Arial" w:hAnsi="Arial"/>
      <w:sz w:val="16"/>
    </w:rPr>
  </w:style>
  <w:style w:type="paragraph" w:styleId="P29">
    <w:name w:val="Footnote Text"/>
    <w:basedOn w:val="P0"/>
    <w:next w:val="P29"/>
    <w:pPr/>
    <w:rPr>
      <w:sz w:val="20"/>
    </w:rPr>
  </w:style>
  <w:style w:type="paragraph" w:styleId="P30">
    <w:name w:val="Tabela-BrojeviI"/>
    <w:basedOn w:val="P0"/>
    <w:next w:val="P30"/>
    <w:pPr>
      <w:jc w:val="right"/>
    </w:pPr>
    <w:rPr>
      <w:rFonts w:ascii="Arial" w:hAnsi="Arial"/>
      <w:i w:val="1"/>
      <w:sz w:val="16"/>
    </w:rPr>
  </w:style>
  <w:style w:type="paragraph" w:styleId="P31">
    <w:name w:val="Tabela-BrojeviB"/>
    <w:basedOn w:val="P0"/>
    <w:next w:val="P31"/>
    <w:pPr>
      <w:jc w:val="right"/>
    </w:pPr>
    <w:rPr>
      <w:rFonts w:ascii="Arial" w:hAnsi="Arial"/>
      <w:b w:val="1"/>
      <w:sz w:val="16"/>
    </w:rPr>
  </w:style>
  <w:style w:type="paragraph" w:styleId="P32">
    <w:name w:val="Fusnota-Broj1"/>
    <w:basedOn w:val="P0"/>
    <w:next w:val="P32"/>
    <w:pPr>
      <w:tabs>
        <w:tab w:val="left" w:pos="360" w:leader="none"/>
      </w:tabs>
      <w:ind w:hanging="360" w:left="360"/>
    </w:pPr>
    <w:rPr>
      <w:sz w:val="14"/>
      <w:vertAlign w:val="superscript"/>
    </w:rPr>
  </w:style>
  <w:style w:type="paragraph" w:styleId="P33">
    <w:name w:val="Fusnota-Tekst1"/>
    <w:basedOn w:val="P0"/>
    <w:next w:val="P33"/>
    <w:pPr/>
    <w:rPr>
      <w:sz w:val="14"/>
    </w:rPr>
  </w:style>
  <w:style w:type="paragraph" w:styleId="P34">
    <w:name w:val="Naslov grafikona"/>
    <w:basedOn w:val="P0"/>
    <w:next w:val="P0"/>
    <w:pPr>
      <w:framePr w:wrap="around" w:vAnchor="page" w:hAnchor="margin" w:x="-4" w:y="14176"/>
      <w:spacing w:before="120" w:after="120"/>
      <w:jc w:val="center"/>
    </w:pPr>
    <w:rPr>
      <w:b w:val="1"/>
    </w:rPr>
  </w:style>
  <w:style w:type="paragraph" w:styleId="P35">
    <w:name w:val="Header"/>
    <w:basedOn w:val="P0"/>
    <w:next w:val="P35"/>
    <w:pPr>
      <w:tabs>
        <w:tab w:val="center" w:pos="4703" w:leader="none"/>
        <w:tab w:val="right" w:pos="9406" w:leader="none"/>
      </w:tabs>
    </w:pPr>
    <w:rPr/>
  </w:style>
  <w:style w:type="paragraph" w:styleId="P36">
    <w:name w:val="Footer"/>
    <w:basedOn w:val="P0"/>
    <w:next w:val="P36"/>
    <w:pPr>
      <w:tabs>
        <w:tab w:val="center" w:pos="4703" w:leader="none"/>
        <w:tab w:val="right" w:pos="9406" w:leader="none"/>
      </w:tabs>
    </w:pPr>
    <w:rPr/>
  </w:style>
  <w:style w:type="paragraph" w:styleId="P37">
    <w:name w:val="Car Car"/>
    <w:basedOn w:val="P0"/>
    <w:next w:val="P37"/>
    <w:link w:val="C0"/>
    <w:pPr>
      <w:spacing w:lineRule="exact" w:line="240" w:after="160"/>
    </w:pPr>
    <w:rPr>
      <w:rFonts w:ascii="Verdana" w:hAnsi="Verdana"/>
      <w:i w:val="1"/>
    </w:rPr>
  </w:style>
  <w:style w:type="paragraph" w:styleId="P38">
    <w:name w:val="Naslov saopstenja"/>
    <w:basedOn w:val="P9"/>
    <w:next w:val="P10"/>
    <w:pPr>
      <w:spacing w:after="0"/>
    </w:pPr>
    <w:rPr>
      <w:sz w:val="24"/>
    </w:rPr>
  </w:style>
  <w:style w:type="paragraph" w:styleId="P39">
    <w:name w:val="Body Text First Indent"/>
    <w:basedOn w:val="P14"/>
    <w:next w:val="P39"/>
    <w:pPr>
      <w:ind w:firstLine="210"/>
    </w:pPr>
    <w:rPr/>
  </w:style>
  <w:style w:type="paragraph" w:styleId="P40">
    <w:name w:val="Body Text First Indent 2"/>
    <w:basedOn w:val="P16"/>
    <w:next w:val="P40"/>
    <w:pPr>
      <w:ind w:firstLine="210"/>
    </w:pPr>
    <w:rPr/>
  </w:style>
  <w:style w:type="paragraph" w:styleId="P41">
    <w:name w:val="Tekst Metodologija i Napomena"/>
    <w:basedOn w:val="P39"/>
    <w:next w:val="P14"/>
    <w:pPr>
      <w:spacing w:before="120" w:after="0"/>
      <w:ind w:firstLine="397"/>
      <w:jc w:val="both"/>
    </w:pPr>
    <w:rPr/>
  </w:style>
  <w:style w:type="paragraph" w:styleId="P42">
    <w:name w:val="Style Pasus + First line:  06 cm Before:  0 pt After:  0 pt"/>
    <w:basedOn w:val="P41"/>
    <w:next w:val="P42"/>
    <w:pPr>
      <w:spacing w:before="0" w:after="0"/>
      <w:ind w:firstLine="340"/>
    </w:pPr>
    <w:rPr/>
  </w:style>
  <w:style w:type="character" w:styleId="C0" w:default="1">
    <w:name w:val="Default Paragraph Font"/>
    <w:link w:val="P37"/>
    <w:semiHidden/>
    <w:rPr>
      <w:rFonts w:ascii="Verdana" w:hAnsi="Verdana"/>
      <w:i w:val="1"/>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 w:type="table" w:styleId="T4">
    <w:name w:val="Table Simple 2"/>
    <w:basedOn w:val="T2"/>
    <w:tblPr/>
    <w:trPr/>
    <w:tcPr/>
  </w:style>
  <w:style w:type="table" w:styleId="T5">
    <w:name w:val="Table List 6"/>
    <w:basedOn w:val="T2"/>
    <w:tblPr>
      <w:tblStyleRowBandSize w:val="1"/>
      <w:tblBorders>
        <w:top w:val="single" w:sz="6" w:space="0" w:shadow="0" w:frame="0" w:color="000000"/>
        <w:left w:val="single" w:sz="6" w:space="0" w:shadow="0" w:frame="0" w:color="000000"/>
        <w:bottom w:val="single" w:sz="6" w:space="0" w:shadow="0" w:frame="0" w:color="000000"/>
        <w:right w:val="single" w:sz="6" w:space="0" w:shadow="0" w:frame="0" w:color="000000"/>
        <w:insideH w:val="none" w:sz="0" w:space="0" w:shadow="0" w:frame="0"/>
        <w:insideV w:val="none" w:sz="0" w:space="0" w:shadow="0" w:frame="0"/>
      </w:tblBorders>
    </w:tblPr>
    <w:trPr/>
    <w:tcPr/>
  </w:style>
  <w:style w:type="table" w:styleId="T6">
    <w:name w:val="Table Elegant"/>
    <w:basedOn w:val="T2"/>
    <w:tblPr>
      <w:tblBorders>
        <w:top w:val="double" w:sz="6" w:space="0" w:shadow="0" w:frame="0" w:color="000000"/>
        <w:left w:val="double" w:sz="6" w:space="0" w:shadow="0" w:frame="0" w:color="000000"/>
        <w:bottom w:val="double" w:sz="6" w:space="0" w:shadow="0" w:frame="0" w:color="000000"/>
        <w:right w:val="double" w:sz="6" w:space="0" w:shadow="0" w:frame="0" w:color="000000"/>
        <w:insideH w:val="single" w:sz="6" w:space="0" w:shadow="0" w:frame="0" w:color="000000"/>
        <w:insideV w:val="single" w:sz="6" w:space="0" w:shadow="0" w:frame="0" w:color="000000"/>
      </w:tblBorders>
    </w:tblPr>
    <w:trPr/>
    <w:tcPr/>
  </w:style>
  <w:style w:type="table" w:styleId="T7">
    <w:name w:val="Table Classic 1"/>
    <w:basedOn w:val="T2"/>
    <w:tblPr>
      <w:tblBorders>
        <w:top w:val="single" w:sz="12" w:space="0" w:shadow="0" w:frame="0" w:color="000000"/>
        <w:left w:val="none" w:sz="0" w:space="0" w:shadow="0" w:frame="0"/>
        <w:bottom w:val="single" w:sz="12" w:space="0" w:shadow="0" w:frame="0" w:color="000000"/>
        <w:right w:val="none" w:sz="0" w:space="0" w:shadow="0" w:frame="0"/>
        <w:insideH w:val="none" w:sz="0" w:space="0" w:shadow="0" w:frame="0"/>
        <w:insideV w:val="none" w:sz="0"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e51id02</dc:creator>
  <dcterms:created xsi:type="dcterms:W3CDTF">2012-12-17T11:03:00Z</dcterms:created>
  <cp:lastModifiedBy>Nikola Kapetanovic</cp:lastModifiedBy>
  <cp:lastPrinted>2012-12-17T12:11:00Z</cp:lastPrinted>
  <dcterms:modified xsi:type="dcterms:W3CDTF">2020-01-10T11:42:30Z</dcterms:modified>
  <cp:revision>13</cp:revision>
  <dc:title>                  </dc:title>
</cp:coreProperties>
</file>