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860E41" Type="http://schemas.openxmlformats.org/officeDocument/2006/relationships/officeDocument" Target="/word/document.xml" /><Relationship Id="coreR49860E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3"/>
              <w:jc w:val="right"/>
              <w:rPr>
                <w:rFonts w:ascii="Arial" w:hAnsi="Arial"/>
                <w:b w:val="0"/>
                <w:i w:val="1"/>
              </w:rPr>
            </w:pPr>
            <w:r>
              <w:rPr>
                <w:rFonts w:ascii="Arial" w:hAnsi="Arial"/>
                <w:b w:val="0"/>
                <w:i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0"/>
                <w:color w:val="808080"/>
                <w:sz w:val="12"/>
              </w:rPr>
            </w:pPr>
            <w:r>
              <w:rPr>
                <w:rFonts w:ascii="Arial" w:hAnsi="Arial"/>
                <w:b w:val="1"/>
                <w:color w:val="808080"/>
                <w:sz w:val="48"/>
              </w:rPr>
              <w:t>GR21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067• Year LXIII, 15/03/2013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0"/>
              </w:rPr>
            </w:pPr>
            <w:r>
              <w:rPr>
                <w:rFonts w:ascii="Arial" w:hAnsi="Arial"/>
                <w:b w:val="1"/>
              </w:rPr>
              <w:t>Construction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4"/>
              <w:jc w:val="right"/>
              <w:rPr>
                <w:b w:val="0"/>
              </w:rPr>
            </w:pPr>
            <w:r>
              <w:rPr>
                <w:b w:val="0"/>
                <w:sz w:val="20"/>
              </w:rPr>
              <w:t>S</w:t>
            </w:r>
            <w:r>
              <w:rPr>
                <w:b w:val="0"/>
                <w:sz w:val="20"/>
              </w:rPr>
              <w:t>E</w:t>
            </w:r>
            <w:r>
              <w:rPr>
                <w:b w:val="0"/>
                <w:sz w:val="20"/>
              </w:rPr>
              <w:t>RB06</w:t>
            </w:r>
            <w:r>
              <w:rPr>
                <w:b w:val="0"/>
                <w:sz w:val="20"/>
              </w:rPr>
              <w:t>7</w:t>
            </w:r>
            <w:r>
              <w:rPr>
                <w:b w:val="0"/>
                <w:sz w:val="20"/>
              </w:rPr>
              <w:t xml:space="preserve"> GR21 15031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
    <w:p>
      <w:pPr>
        <w:spacing w:lineRule="auto" w:line="360"/>
        <w:jc w:val="center"/>
        <w:rPr>
          <w:rFonts w:ascii="Arial" w:hAnsi="Arial"/>
          <w:b w:val="0"/>
          <w:sz w:val="28"/>
        </w:rPr>
      </w:pPr>
      <w:r>
        <w:rPr>
          <w:rFonts w:ascii="Arial" w:hAnsi="Arial"/>
          <w:b w:val="1"/>
          <w:sz w:val="28"/>
        </w:rPr>
        <w:t>Prices of dwellings of new construction in 20</w:t>
      </w:r>
      <w:r>
        <w:rPr>
          <w:rFonts w:ascii="Arial" w:hAnsi="Arial"/>
          <w:b w:val="1"/>
          <w:sz w:val="28"/>
        </w:rPr>
        <w:t>1</w:t>
      </w:r>
      <w:r>
        <w:rPr>
          <w:rFonts w:ascii="Arial" w:hAnsi="Arial"/>
          <w:b w:val="1"/>
          <w:sz w:val="28"/>
        </w:rPr>
        <w:t>2</w:t>
      </w:r>
      <w:r>
        <w:rPr>
          <w:rFonts w:ascii="Arial" w:hAnsi="Arial"/>
          <w:b w:val="1"/>
          <w:sz w:val="28"/>
        </w:rPr>
        <w:t xml:space="preserve"> </w:t>
      </w:r>
    </w:p>
    <w:p>
      <w:pPr>
        <w:jc w:val="center"/>
        <w:rPr>
          <w:rFonts w:ascii="Arial" w:hAnsi="Arial"/>
          <w:b w:val="0"/>
        </w:rPr>
      </w:pPr>
      <w:r>
        <w:rPr>
          <w:rFonts w:ascii="Arial" w:hAnsi="Arial"/>
          <w:b w:val="1"/>
        </w:rPr>
        <w:t>– Preliminary results –</w:t>
      </w:r>
    </w:p>
    <w:p>
      <w:pPr>
        <w:jc w:val="center"/>
        <w:rPr>
          <w:rFonts w:ascii="Arial" w:hAnsi="Arial"/>
          <w:b w:val="0"/>
        </w:rPr>
      </w:pPr>
    </w:p>
    <w:p>
      <w:pPr>
        <w:spacing w:before="120"/>
        <w:ind w:firstLine="397"/>
        <w:jc w:val="both"/>
        <w:rPr>
          <w:rFonts w:ascii="Arial" w:hAnsi="Arial"/>
          <w:sz w:val="20"/>
        </w:rPr>
      </w:pPr>
      <w:r>
        <w:rPr>
          <w:rFonts w:ascii="Arial" w:hAnsi="Arial"/>
          <w:sz w:val="20"/>
        </w:rPr>
        <w:t>Prices of dwellings of new construction in the Republic of Serbia</w:t>
      </w:r>
      <w:r>
        <w:rPr>
          <w:rFonts w:ascii="Arial" w:hAnsi="Arial"/>
          <w:b w:val="1"/>
          <w:sz w:val="28"/>
        </w:rPr>
        <w:t xml:space="preserve"> </w:t>
      </w:r>
      <w:r>
        <w:rPr>
          <w:rFonts w:ascii="Arial" w:hAnsi="Arial"/>
          <w:sz w:val="20"/>
        </w:rPr>
        <w:t>decreased by 2.0% in 2012</w:t>
      </w:r>
      <w:r>
        <w:rPr>
          <w:rFonts w:ascii="Arial" w:hAnsi="Arial"/>
          <w:b w:val="1"/>
          <w:sz w:val="28"/>
        </w:rPr>
        <w:t xml:space="preserve"> </w:t>
      </w:r>
      <w:r>
        <w:rPr>
          <w:rFonts w:ascii="Arial" w:hAnsi="Arial"/>
          <w:sz w:val="20"/>
        </w:rPr>
        <w:t>in relation to 2011.</w:t>
      </w:r>
    </w:p>
    <w:p>
      <w:pPr>
        <w:spacing w:before="120"/>
        <w:ind w:firstLine="397"/>
        <w:jc w:val="both"/>
        <w:rPr>
          <w:rFonts w:ascii="Arial" w:hAnsi="Arial"/>
          <w:sz w:val="20"/>
        </w:rPr>
      </w:pPr>
      <w:r>
        <w:rPr>
          <w:rFonts w:ascii="Arial" w:hAnsi="Arial"/>
          <w:sz w:val="20"/>
        </w:rPr>
        <w:t>Observing the EUR exchange rate change during this period, the prices of dwellings of new construction in 2012 decreased by 12.0% in relation to the previous year. According to the prices structure, observed in EUR, the largest decrease of prices was recorded in prices of construction land (22.0%), and then in prices of construction works (8.8%), while other expenditures decreased by 7.6%.</w:t>
      </w:r>
    </w:p>
    <w:p>
      <w:pPr>
        <w:spacing w:before="120"/>
        <w:ind w:firstLine="397"/>
        <w:jc w:val="both"/>
        <w:rPr>
          <w:rFonts w:ascii="Arial" w:hAnsi="Arial"/>
          <w:sz w:val="20"/>
        </w:rPr>
      </w:pPr>
      <w:r>
        <w:rPr>
          <w:rFonts w:ascii="Arial" w:hAnsi="Arial"/>
          <w:sz w:val="20"/>
        </w:rPr>
        <w:t>The average area of sold dwellings of new construction in the Republic of Serbia in 2012 amounted to 59 m</w:t>
      </w:r>
      <w:r>
        <w:rPr>
          <w:rFonts w:ascii="Arial" w:hAnsi="Arial"/>
          <w:sz w:val="20"/>
          <w:vertAlign w:val="superscript"/>
        </w:rPr>
        <w:t>2</w:t>
      </w:r>
      <w:r>
        <w:rPr>
          <w:rFonts w:ascii="Arial" w:hAnsi="Arial"/>
          <w:sz w:val="20"/>
        </w:rPr>
        <w:t xml:space="preserve">. Observed by towns, average area of sold dwellings fluctuated between 41 m² in Kragujevac to 81 m² in Novi Sad. </w:t>
      </w:r>
    </w:p>
    <w:p>
      <w:pPr>
        <w:spacing w:before="120"/>
        <w:ind w:firstLine="397"/>
        <w:jc w:val="both"/>
        <w:rPr>
          <w:rFonts w:ascii="Arial" w:hAnsi="Arial"/>
          <w:sz w:val="20"/>
        </w:rPr>
      </w:pPr>
      <w:r>
        <w:rPr>
          <w:rFonts w:ascii="Arial" w:hAnsi="Arial"/>
          <w:sz w:val="20"/>
        </w:rPr>
        <w:t xml:space="preserve">The largest average price of sold dwellings of new construction in 2012 was contracted in the city of Belgrade and amounted to 175920 RSD, presenting a 3.9% decrease in relation to 2011. Expressed in EUR, average prices in the city of Belgrade, in the observed period, decreased by 13.6% in relation to 2011. </w:t>
      </w:r>
    </w:p>
    <w:p>
      <w:pPr>
        <w:spacing w:before="120"/>
        <w:ind w:firstLine="397"/>
        <w:jc w:val="both"/>
        <w:rPr>
          <w:rFonts w:ascii="Arial" w:hAnsi="Arial"/>
          <w:sz w:val="20"/>
        </w:rPr>
      </w:pPr>
      <w:r>
        <w:rPr>
          <w:rFonts w:ascii="Arial" w:hAnsi="Arial"/>
          <w:sz w:val="20"/>
        </w:rPr>
        <w:t xml:space="preserve">In 2012, the lowest average price of new construction was recorded in Cuprija, amounting to 54863 RSD. </w:t>
      </w:r>
    </w:p>
    <w:p>
      <w:pPr>
        <w:spacing w:before="120"/>
        <w:ind w:firstLine="397"/>
        <w:jc w:val="both"/>
        <w:rPr>
          <w:rFonts w:ascii="Arial" w:hAnsi="Arial"/>
          <w:b w:val="0"/>
        </w:rPr>
      </w:pP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color w:val="auto"/>
          <w:sz w:val="20"/>
        </w:rPr>
        <w:t>www.stat.gov.rs</w:t>
      </w:r>
      <w:r>
        <w:rPr>
          <w:rStyle w:val="C2"/>
          <w:rFonts w:ascii="Arial" w:hAnsi="Arial"/>
          <w:color w:val="auto"/>
          <w:sz w:val="20"/>
        </w:rPr>
        <w:fldChar w:fldCharType="end"/>
      </w:r>
      <w:r>
        <w:rPr>
          <w:rFonts w:ascii="Arial" w:hAnsi="Arial"/>
          <w:sz w:val="20"/>
        </w:rPr>
        <w:t xml:space="preserve"> (Construction Activity and databases). </w:t>
      </w:r>
    </w:p>
    <w:p>
      <w:pPr>
        <w:jc w:val="both"/>
        <w:rPr>
          <w:rFonts w:ascii="Arial" w:hAnsi="Arial"/>
          <w:sz w:val="20"/>
        </w:rPr>
      </w:pPr>
    </w:p>
    <w:p>
      <w:pPr>
        <w:jc w:val="center"/>
        <w:rPr>
          <w:rFonts w:ascii="Arial" w:hAnsi="Arial"/>
          <w:b w:val="0"/>
          <w:sz w:val="20"/>
        </w:rPr>
      </w:pPr>
    </w:p>
    <w:p>
      <w:pPr>
        <w:jc w:val="center"/>
        <w:rPr>
          <w:rFonts w:ascii="Arial" w:hAnsi="Arial"/>
          <w:b w:val="0"/>
          <w:sz w:val="20"/>
        </w:rPr>
      </w:pPr>
    </w:p>
    <w:p>
      <w:pPr>
        <w:numPr>
          <w:ilvl w:val="0"/>
          <w:numId w:val="1"/>
        </w:numPr>
        <w:jc w:val="center"/>
        <w:rPr>
          <w:rFonts w:ascii="Arial" w:hAnsi="Arial"/>
          <w:b w:val="0"/>
          <w:sz w:val="20"/>
        </w:rPr>
      </w:pPr>
      <w:r>
        <w:rPr>
          <w:rFonts w:ascii="Arial" w:hAnsi="Arial"/>
          <w:b w:val="1"/>
          <w:sz w:val="20"/>
        </w:rPr>
        <w:t>Prices of dwellings of new construction</w:t>
      </w:r>
      <w:r>
        <w:rPr>
          <w:rFonts w:ascii="Arial" w:hAnsi="Arial"/>
          <w:b w:val="1"/>
          <w:sz w:val="28"/>
        </w:rPr>
        <w:t xml:space="preserve"> </w:t>
      </w:r>
      <w:r>
        <w:rPr>
          <w:rFonts w:ascii="Arial" w:hAnsi="Arial"/>
          <w:b w:val="1"/>
          <w:sz w:val="20"/>
        </w:rPr>
        <w:t>in 20</w:t>
      </w:r>
      <w:r>
        <w:rPr>
          <w:rFonts w:ascii="Arial" w:hAnsi="Arial"/>
          <w:b w:val="1"/>
          <w:sz w:val="20"/>
        </w:rPr>
        <w:t>1</w:t>
      </w:r>
      <w:r>
        <w:rPr>
          <w:rFonts w:ascii="Arial" w:hAnsi="Arial"/>
          <w:b w:val="1"/>
          <w:sz w:val="20"/>
        </w:rPr>
        <w:t>2</w:t>
      </w:r>
      <w:r>
        <w:rPr>
          <w:rFonts w:ascii="Arial" w:hAnsi="Arial"/>
          <w:b w:val="1"/>
          <w:sz w:val="20"/>
          <w:vertAlign w:val="superscript"/>
        </w:rPr>
        <w:t>1</w:t>
      </w:r>
      <w:r>
        <w:rPr>
          <w:rFonts w:ascii="Arial" w:hAnsi="Arial"/>
          <w:b w:val="1"/>
          <w:sz w:val="20"/>
          <w:vertAlign w:val="superscript"/>
        </w:rPr>
        <w:t>)</w:t>
      </w:r>
    </w:p>
    <w:tbl>
      <w:tblPr>
        <w:tblStyle w:val="T3"/>
        <w:tblW w:w="0" w:type="auto"/>
        <w:jc w:val="center"/>
        <w:tblLayout w:type="autofit"/>
        <w:tblCellMar>
          <w:left w:w="28" w:type="dxa"/>
          <w:right w:w="28" w:type="dxa"/>
        </w:tblCellMar>
      </w:tblPr>
      <w:tblGrid/>
      <w:tr>
        <w:trPr>
          <w:wAfter w:w="0" w:type="dxa"/>
        </w:trPr>
        <w:tc>
          <w:tcPr>
            <w:tcW w:w="2394" w:type="dxa"/>
            <w:vMerge w:val="restart"/>
            <w:tcBorders>
              <w:left w:val="none" w:sz="0" w:space="0" w:shadow="0" w:frame="0"/>
            </w:tcBorders>
            <w:vAlign w:val="center"/>
          </w:tcPr>
          <w:p>
            <w:pPr>
              <w:pStyle w:val="P5"/>
              <w:rPr>
                <w:b w:val="0"/>
              </w:rPr>
            </w:pPr>
          </w:p>
        </w:tc>
        <w:tc>
          <w:tcPr>
            <w:tcW w:w="1226" w:type="dxa"/>
            <w:vMerge w:val="restart"/>
            <w:vAlign w:val="center"/>
          </w:tcPr>
          <w:p>
            <w:pPr>
              <w:pStyle w:val="P5"/>
              <w:rPr>
                <w:b w:val="0"/>
              </w:rPr>
            </w:pPr>
            <w:r>
              <w:rPr>
                <w:b w:val="0"/>
              </w:rPr>
              <w:t xml:space="preserve">Average dwellings’ area in m²                     </w:t>
            </w:r>
          </w:p>
        </w:tc>
        <w:tc>
          <w:tcPr>
            <w:tcW w:w="1407" w:type="dxa"/>
            <w:vMerge w:val="restart"/>
            <w:vAlign w:val="center"/>
          </w:tcPr>
          <w:p>
            <w:pPr>
              <w:jc w:val="center"/>
              <w:rPr>
                <w:rFonts w:ascii="Arial" w:hAnsi="Arial"/>
                <w:sz w:val="16"/>
              </w:rPr>
            </w:pPr>
            <w:r>
              <w:rPr>
                <w:rFonts w:ascii="Arial" w:hAnsi="Arial"/>
                <w:sz w:val="16"/>
              </w:rPr>
              <w:t xml:space="preserve">Price by 1 m²,                             in RSD, total</w:t>
            </w:r>
          </w:p>
        </w:tc>
        <w:tc>
          <w:tcPr>
            <w:tcW w:w="4668" w:type="dxa"/>
            <w:gridSpan w:val="3"/>
            <w:tcBorders>
              <w:right w:val="none" w:sz="0" w:space="0" w:shadow="0" w:frame="0"/>
            </w:tcBorders>
            <w:vAlign w:val="center"/>
          </w:tcPr>
          <w:p>
            <w:pPr>
              <w:pStyle w:val="P5"/>
              <w:rPr>
                <w:b w:val="0"/>
              </w:rPr>
            </w:pPr>
            <w:r>
              <w:rPr>
                <w:b w:val="0"/>
              </w:rPr>
              <w:t>Оf which:</w:t>
            </w:r>
          </w:p>
        </w:tc>
      </w:tr>
      <w:tr>
        <w:trPr>
          <w:wAfter w:w="0" w:type="dxa"/>
        </w:trPr>
        <w:tc>
          <w:tcPr>
            <w:tcW w:w="2394" w:type="dxa"/>
            <w:vMerge w:val="continue"/>
            <w:tcBorders>
              <w:left w:val="none" w:sz="0" w:space="0" w:shadow="0" w:frame="0"/>
              <w:bottom w:val="single" w:sz="4" w:space="0" w:shadow="0" w:frame="0"/>
            </w:tcBorders>
            <w:vAlign w:val="center"/>
          </w:tcPr>
          <w:p>
            <w:pPr>
              <w:pStyle w:val="P5"/>
              <w:rPr>
                <w:b w:val="0"/>
              </w:rPr>
            </w:pPr>
          </w:p>
        </w:tc>
        <w:tc>
          <w:tcPr>
            <w:tcW w:w="1226" w:type="dxa"/>
            <w:vMerge w:val="continue"/>
            <w:tcBorders>
              <w:bottom w:val="single" w:sz="4" w:space="0" w:shadow="0" w:frame="0"/>
            </w:tcBorders>
            <w:vAlign w:val="center"/>
          </w:tcPr>
          <w:p>
            <w:pPr>
              <w:pStyle w:val="P5"/>
              <w:rPr>
                <w:b w:val="0"/>
              </w:rPr>
            </w:pPr>
          </w:p>
        </w:tc>
        <w:tc>
          <w:tcPr>
            <w:tcW w:w="1407" w:type="dxa"/>
            <w:vMerge w:val="continue"/>
            <w:tcBorders>
              <w:bottom w:val="single" w:sz="4" w:space="0" w:shadow="0" w:frame="0"/>
            </w:tcBorders>
            <w:vAlign w:val="center"/>
          </w:tcPr>
          <w:p>
            <w:pPr>
              <w:pStyle w:val="P5"/>
              <w:rPr>
                <w:b w:val="0"/>
              </w:rPr>
            </w:pPr>
          </w:p>
        </w:tc>
        <w:tc>
          <w:tcPr>
            <w:tcW w:w="1581" w:type="dxa"/>
            <w:tcBorders>
              <w:bottom w:val="single" w:sz="4" w:space="0" w:shadow="0" w:frame="0"/>
            </w:tcBorders>
            <w:vAlign w:val="center"/>
          </w:tcPr>
          <w:p>
            <w:pPr>
              <w:pStyle w:val="P5"/>
              <w:rPr>
                <w:b w:val="0"/>
              </w:rPr>
            </w:pPr>
            <w:r>
              <w:rPr>
                <w:b w:val="0"/>
              </w:rPr>
              <w:t>P</w:t>
            </w:r>
            <w:r>
              <w:rPr>
                <w:b w:val="0"/>
              </w:rPr>
              <w:t xml:space="preserve">rice of construction            l</w:t>
            </w:r>
            <w:r>
              <w:rPr>
                <w:b w:val="0"/>
              </w:rPr>
              <w:t>a</w:t>
            </w:r>
            <w:r>
              <w:rPr>
                <w:b w:val="0"/>
              </w:rPr>
              <w:t>nd</w:t>
            </w:r>
          </w:p>
        </w:tc>
        <w:tc>
          <w:tcPr>
            <w:tcW w:w="1431" w:type="dxa"/>
            <w:tcBorders>
              <w:bottom w:val="single" w:sz="4" w:space="0" w:shadow="0" w:frame="0"/>
            </w:tcBorders>
            <w:vAlign w:val="center"/>
          </w:tcPr>
          <w:p>
            <w:pPr>
              <w:pStyle w:val="P5"/>
              <w:rPr>
                <w:b w:val="0"/>
              </w:rPr>
            </w:pPr>
            <w:r>
              <w:rPr>
                <w:b w:val="0"/>
              </w:rPr>
              <w:t>P</w:t>
            </w:r>
            <w:r>
              <w:rPr>
                <w:b w:val="0"/>
              </w:rPr>
              <w:t xml:space="preserve">rice of construction </w:t>
            </w:r>
            <w:r>
              <w:rPr>
                <w:b w:val="0"/>
              </w:rPr>
              <w:t>works</w:t>
            </w:r>
          </w:p>
        </w:tc>
        <w:tc>
          <w:tcPr>
            <w:tcW w:w="1656" w:type="dxa"/>
            <w:tcBorders>
              <w:bottom w:val="single" w:sz="4" w:space="0" w:shadow="0" w:frame="0"/>
              <w:right w:val="none" w:sz="0" w:space="0" w:shadow="0" w:frame="0"/>
            </w:tcBorders>
            <w:vAlign w:val="center"/>
          </w:tcPr>
          <w:p>
            <w:pPr>
              <w:pStyle w:val="P5"/>
              <w:rPr>
                <w:b w:val="0"/>
              </w:rPr>
            </w:pPr>
            <w:r>
              <w:rPr>
                <w:b w:val="0"/>
              </w:rPr>
              <w:t>O</w:t>
            </w:r>
            <w:r>
              <w:rPr>
                <w:b w:val="0"/>
              </w:rPr>
              <w:t xml:space="preserve">ther </w:t>
            </w:r>
            <w:r>
              <w:rPr>
                <w:b w:val="0"/>
              </w:rPr>
              <w:t>expenditures</w:t>
            </w:r>
            <w:r>
              <w:rPr>
                <w:b w:val="0"/>
              </w:rPr>
              <w:t xml:space="preserve"> </w:t>
            </w:r>
          </w:p>
        </w:tc>
      </w:tr>
      <w:tr>
        <w:trPr>
          <w:wAfter w:w="0" w:type="dxa"/>
          <w:trHeight w:hRule="atLeast" w:val="179"/>
        </w:trPr>
        <w:tc>
          <w:tcPr>
            <w:tcW w:w="2394" w:type="dxa"/>
            <w:tcBorders>
              <w:top w:val="single" w:sz="4" w:space="0" w:shadow="0" w:frame="0"/>
              <w:left w:val="none" w:sz="0" w:space="0" w:shadow="0" w:frame="0"/>
              <w:bottom w:val="none" w:sz="0" w:space="0" w:shadow="0" w:frame="0"/>
              <w:right w:val="single" w:sz="4" w:space="0" w:shadow="0" w:frame="0"/>
            </w:tcBorders>
          </w:tcPr>
          <w:p>
            <w:pPr>
              <w:rPr>
                <w:rFonts w:ascii="Arial" w:hAnsi="Arial"/>
                <w:b w:val="0"/>
                <w:sz w:val="16"/>
              </w:rPr>
            </w:pPr>
          </w:p>
        </w:tc>
        <w:tc>
          <w:tcPr>
            <w:tcW w:w="1226" w:type="dxa"/>
            <w:tcBorders>
              <w:top w:val="single" w:sz="4" w:space="0" w:shadow="0" w:frame="0"/>
              <w:left w:val="single" w:sz="4" w:space="0" w:shadow="0" w:frame="0"/>
              <w:bottom w:val="none" w:sz="0" w:space="0" w:shadow="0" w:frame="0"/>
              <w:right w:val="none" w:sz="0" w:space="0" w:shadow="0" w:frame="0"/>
            </w:tcBorders>
            <w:vAlign w:val="bottom"/>
          </w:tcPr>
          <w:p>
            <w:pPr>
              <w:jc w:val="center"/>
              <w:rPr>
                <w:rFonts w:ascii="Arial" w:hAnsi="Arial"/>
                <w:b w:val="0"/>
                <w:sz w:val="16"/>
              </w:rPr>
            </w:pPr>
          </w:p>
        </w:tc>
        <w:tc>
          <w:tcPr>
            <w:tcW w:w="1407" w:type="dxa"/>
            <w:tcBorders>
              <w:top w:val="single" w:sz="4" w:space="0" w:shadow="0" w:frame="0"/>
              <w:left w:val="none" w:sz="0" w:space="0" w:shadow="0" w:frame="0"/>
              <w:bottom w:val="none" w:sz="0" w:space="0" w:shadow="0" w:frame="0"/>
              <w:right w:val="none" w:sz="0" w:space="0" w:shadow="0" w:frame="0"/>
            </w:tcBorders>
            <w:vAlign w:val="bottom"/>
          </w:tcPr>
          <w:p>
            <w:pPr>
              <w:jc w:val="center"/>
              <w:rPr>
                <w:rFonts w:ascii="Arial" w:hAnsi="Arial"/>
                <w:b w:val="0"/>
                <w:sz w:val="16"/>
              </w:rPr>
            </w:pPr>
          </w:p>
        </w:tc>
        <w:tc>
          <w:tcPr>
            <w:tcW w:w="1581" w:type="dxa"/>
            <w:tcBorders>
              <w:top w:val="single" w:sz="4" w:space="0" w:shadow="0" w:frame="0"/>
              <w:left w:val="none" w:sz="0" w:space="0" w:shadow="0" w:frame="0"/>
              <w:bottom w:val="none" w:sz="0" w:space="0" w:shadow="0" w:frame="0"/>
              <w:right w:val="none" w:sz="0" w:space="0" w:shadow="0" w:frame="0"/>
            </w:tcBorders>
            <w:vAlign w:val="bottom"/>
          </w:tcPr>
          <w:p>
            <w:pPr>
              <w:jc w:val="center"/>
              <w:rPr>
                <w:rFonts w:ascii="Arial" w:hAnsi="Arial"/>
                <w:b w:val="0"/>
                <w:sz w:val="16"/>
              </w:rPr>
            </w:pPr>
          </w:p>
        </w:tc>
        <w:tc>
          <w:tcPr>
            <w:tcW w:w="1431" w:type="dxa"/>
            <w:tcBorders>
              <w:top w:val="single" w:sz="4" w:space="0" w:shadow="0" w:frame="0"/>
              <w:left w:val="none" w:sz="0" w:space="0" w:shadow="0" w:frame="0"/>
              <w:bottom w:val="none" w:sz="0" w:space="0" w:shadow="0" w:frame="0"/>
              <w:right w:val="none" w:sz="0" w:space="0" w:shadow="0" w:frame="0"/>
            </w:tcBorders>
            <w:vAlign w:val="bottom"/>
          </w:tcPr>
          <w:p>
            <w:pPr>
              <w:jc w:val="center"/>
              <w:rPr>
                <w:rFonts w:ascii="Arial" w:hAnsi="Arial"/>
                <w:b w:val="0"/>
                <w:sz w:val="16"/>
              </w:rPr>
            </w:pPr>
          </w:p>
        </w:tc>
        <w:tc>
          <w:tcPr>
            <w:tcW w:w="1656" w:type="dxa"/>
            <w:tcBorders>
              <w:top w:val="single" w:sz="4" w:space="0" w:shadow="0" w:frame="0"/>
              <w:left w:val="none" w:sz="0" w:space="0" w:shadow="0" w:frame="0"/>
              <w:bottom w:val="none" w:sz="0" w:space="0" w:shadow="0" w:frame="0"/>
              <w:right w:val="none" w:sz="0" w:space="0" w:shadow="0" w:frame="0"/>
            </w:tcBorders>
            <w:vAlign w:val="bottom"/>
          </w:tcPr>
          <w:p>
            <w:pPr>
              <w:jc w:val="center"/>
              <w:rPr>
                <w:rFonts w:ascii="Arial" w:hAnsi="Arial"/>
                <w:b w:val="0"/>
                <w:sz w:val="16"/>
              </w:rPr>
            </w:pP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0"/>
                <w:sz w:val="16"/>
              </w:rPr>
            </w:pPr>
            <w:r>
              <w:rPr>
                <w:rFonts w:ascii="Arial" w:hAnsi="Arial"/>
                <w:b w:val="1"/>
                <w:sz w:val="16"/>
              </w:rPr>
              <w:t>REPUBLIC OF SERBIA</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59</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132555</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29781</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83918</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18857</w:t>
            </w:r>
          </w:p>
        </w:tc>
      </w:tr>
      <w:tr>
        <w:trPr>
          <w:wAfter w:w="0" w:type="dxa"/>
          <w:trHeight w:hRule="atLeast" w:val="101"/>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0"/>
                <w:sz w:val="16"/>
              </w:rPr>
            </w:pPr>
            <w:r>
              <w:rPr>
                <w:rFonts w:ascii="Arial" w:hAnsi="Arial"/>
                <w:b w:val="1"/>
                <w:sz w:val="16"/>
              </w:rPr>
              <w:t>AP Vojvodina</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71</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94103</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12779</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64484</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0"/>
                <w:sz w:val="16"/>
              </w:rPr>
            </w:pPr>
            <w:r>
              <w:rPr>
                <w:rFonts w:ascii="Arial" w:hAnsi="Arial"/>
                <w:b w:val="1"/>
                <w:sz w:val="16"/>
              </w:rPr>
              <w:t>16840</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The city of Belgrade</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58</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175920</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46792</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107088</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22040</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Backa Palanka</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65</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78015</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16054</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51499</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10462</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Valjevo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54</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86255</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12661</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60021</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13573</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Grad Vranje</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43</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76226</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9521</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34459</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32247</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Vrnjačka Banja</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45</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124908</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12509</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84424</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27975</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Vršac</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66</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84460</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7499</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61761</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15201</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Zrenjanin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61</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78211</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14937</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51259</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12015</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Jagodina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67</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66471</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1579</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46351</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18540</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Kragujevac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41</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108564</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16704</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72910</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18950</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Kraljevo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64</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99069</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17253</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69020</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12796</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Kruševac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45</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78000</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11200</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58000</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8800</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Lazarevac</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49</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78152</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23368</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47460</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7324</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Leskovac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68</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66204</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1496</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39792</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24917</w:t>
            </w:r>
          </w:p>
        </w:tc>
      </w:tr>
      <w:tr>
        <w:trPr>
          <w:wAfter w:w="0" w:type="dxa"/>
        </w:trPr>
        <w:tc>
          <w:tcPr>
            <w:tcW w:w="2394"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Loznica – town</w:t>
            </w:r>
          </w:p>
        </w:tc>
        <w:tc>
          <w:tcPr>
            <w:tcW w:w="1226"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52</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63302</w:t>
            </w:r>
          </w:p>
        </w:tc>
        <w:tc>
          <w:tcPr>
            <w:tcW w:w="158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10442</w:t>
            </w:r>
          </w:p>
        </w:tc>
        <w:tc>
          <w:tcPr>
            <w:tcW w:w="14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38055</w:t>
            </w:r>
          </w:p>
        </w:tc>
        <w:tc>
          <w:tcPr>
            <w:tcW w:w="1656"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14806</w:t>
            </w:r>
          </w:p>
        </w:tc>
      </w:tr>
    </w:tbl>
    <w:p>
      <w:pPr>
        <w:pStyle w:val="P5"/>
        <w:spacing w:before="0" w:after="0"/>
        <w:jc w:val="left"/>
        <w:rPr>
          <w:b w:val="0"/>
          <w:sz w:val="14"/>
          <w:vertAlign w:val="superscript"/>
        </w:rPr>
      </w:pPr>
    </w:p>
    <w:p>
      <w:pPr>
        <w:pStyle w:val="P5"/>
        <w:jc w:val="left"/>
        <w:rPr>
          <w:b w:val="0"/>
          <w:sz w:val="14"/>
        </w:rPr>
      </w:pPr>
      <w:r>
        <w:rPr>
          <w:b w:val="0"/>
          <w:sz w:val="14"/>
          <w:vertAlign w:val="superscript"/>
        </w:rPr>
        <w:t>1)</w:t>
      </w:r>
      <w:r>
        <w:rPr>
          <w:b w:val="0"/>
          <w:sz w:val="14"/>
        </w:rPr>
        <w:t xml:space="preserve"> Presented are only the data for selected cities where buying and selling has been carried out.</w:t>
      </w:r>
    </w:p>
    <w:p>
      <w:pPr>
        <w:jc w:val="center"/>
        <w:rPr>
          <w:rFonts w:ascii="Arial" w:hAnsi="Arial"/>
          <w:b w:val="0"/>
          <w:sz w:val="20"/>
        </w:rPr>
      </w:pPr>
    </w:p>
    <w:p>
      <w:pPr>
        <w:jc w:val="center"/>
        <w:rPr>
          <w:rFonts w:ascii="Arial" w:hAnsi="Arial"/>
          <w:sz w:val="20"/>
        </w:rPr>
      </w:pPr>
      <w:r>
        <w:rPr>
          <w:rFonts w:ascii="Arial" w:hAnsi="Arial"/>
          <w:b w:val="1"/>
          <w:sz w:val="20"/>
        </w:rPr>
        <w:t>1. Prices of dwellings of new construction</w:t>
      </w:r>
      <w:r>
        <w:rPr>
          <w:rFonts w:ascii="Arial" w:hAnsi="Arial"/>
          <w:b w:val="1"/>
          <w:sz w:val="28"/>
        </w:rPr>
        <w:t xml:space="preserve"> </w:t>
      </w:r>
      <w:r>
        <w:rPr>
          <w:rFonts w:ascii="Arial" w:hAnsi="Arial"/>
          <w:b w:val="1"/>
          <w:sz w:val="20"/>
        </w:rPr>
        <w:t>in 20</w:t>
      </w:r>
      <w:r>
        <w:rPr>
          <w:rFonts w:ascii="Arial" w:hAnsi="Arial"/>
          <w:b w:val="1"/>
          <w:sz w:val="20"/>
        </w:rPr>
        <w:t>1</w:t>
      </w:r>
      <w:r>
        <w:rPr>
          <w:rFonts w:ascii="Arial" w:hAnsi="Arial"/>
          <w:b w:val="1"/>
          <w:sz w:val="20"/>
        </w:rPr>
        <w:t>2</w:t>
      </w:r>
      <w:r>
        <w:rPr>
          <w:rFonts w:ascii="Arial" w:hAnsi="Arial"/>
          <w:b w:val="1"/>
          <w:sz w:val="20"/>
          <w:vertAlign w:val="superscript"/>
        </w:rPr>
        <w:t>1</w:t>
      </w:r>
      <w:r>
        <w:rPr>
          <w:rFonts w:ascii="Arial" w:hAnsi="Arial"/>
          <w:b w:val="1"/>
          <w:sz w:val="20"/>
          <w:vertAlign w:val="superscript"/>
        </w:rPr>
        <w:t xml:space="preserve">)  </w:t>
      </w:r>
      <w:r>
        <w:rPr>
          <w:rFonts w:ascii="Arial" w:hAnsi="Arial"/>
          <w:b w:val="1"/>
          <w:sz w:val="20"/>
        </w:rPr>
        <w:t xml:space="preserve"> </w:t>
      </w:r>
      <w:r>
        <w:rPr>
          <w:rFonts w:ascii="Arial" w:hAnsi="Arial"/>
          <w:sz w:val="20"/>
        </w:rPr>
        <w:t>(continued)</w:t>
      </w:r>
    </w:p>
    <w:p>
      <w:pPr>
        <w:jc w:val="center"/>
        <w:rPr>
          <w:rFonts w:ascii="Arial" w:hAnsi="Arial"/>
          <w:b w:val="0"/>
          <w:sz w:val="20"/>
        </w:rPr>
      </w:pPr>
    </w:p>
    <w:tbl>
      <w:tblPr>
        <w:tblStyle w:val="T3"/>
        <w:tblW w:w="0" w:type="auto"/>
        <w:jc w:val="center"/>
        <w:tblLayout w:type="autofit"/>
        <w:tblCellMar>
          <w:left w:w="28" w:type="dxa"/>
          <w:right w:w="28" w:type="dxa"/>
        </w:tblCellMar>
      </w:tblPr>
      <w:tblGrid/>
      <w:tr>
        <w:trPr>
          <w:wAfter w:w="0" w:type="dxa"/>
        </w:trPr>
        <w:tc>
          <w:tcPr>
            <w:tcW w:w="2508" w:type="dxa"/>
            <w:vMerge w:val="restart"/>
            <w:tcBorders>
              <w:left w:val="none" w:sz="0" w:space="0" w:shadow="0" w:frame="0"/>
            </w:tcBorders>
            <w:vAlign w:val="center"/>
          </w:tcPr>
          <w:p>
            <w:pPr>
              <w:pStyle w:val="P5"/>
              <w:rPr>
                <w:b w:val="0"/>
              </w:rPr>
            </w:pPr>
          </w:p>
        </w:tc>
        <w:tc>
          <w:tcPr>
            <w:tcW w:w="1111" w:type="dxa"/>
            <w:vMerge w:val="restart"/>
            <w:vAlign w:val="center"/>
          </w:tcPr>
          <w:p>
            <w:pPr>
              <w:pStyle w:val="P5"/>
              <w:rPr>
                <w:b w:val="0"/>
              </w:rPr>
            </w:pPr>
            <w:r>
              <w:rPr>
                <w:b w:val="0"/>
              </w:rPr>
              <w:t xml:space="preserve">Average dwellings’ area in                            m²</w:t>
            </w:r>
          </w:p>
        </w:tc>
        <w:tc>
          <w:tcPr>
            <w:tcW w:w="1407" w:type="dxa"/>
            <w:vMerge w:val="restart"/>
            <w:vAlign w:val="center"/>
          </w:tcPr>
          <w:p>
            <w:pPr>
              <w:jc w:val="center"/>
              <w:rPr>
                <w:rFonts w:ascii="Arial" w:hAnsi="Arial"/>
                <w:sz w:val="16"/>
              </w:rPr>
            </w:pPr>
            <w:r>
              <w:rPr>
                <w:rFonts w:ascii="Arial" w:hAnsi="Arial"/>
                <w:sz w:val="16"/>
              </w:rPr>
              <w:t xml:space="preserve">Price by 1 m²,                             in RSD, total</w:t>
            </w:r>
          </w:p>
        </w:tc>
        <w:tc>
          <w:tcPr>
            <w:tcW w:w="4669" w:type="dxa"/>
            <w:gridSpan w:val="3"/>
            <w:tcBorders>
              <w:bottom w:val="none" w:sz="0" w:space="0" w:shadow="0" w:frame="0"/>
              <w:right w:val="none" w:sz="0" w:space="0" w:shadow="0" w:frame="0"/>
            </w:tcBorders>
            <w:vAlign w:val="center"/>
          </w:tcPr>
          <w:p>
            <w:pPr>
              <w:pStyle w:val="P5"/>
              <w:rPr>
                <w:b w:val="0"/>
              </w:rPr>
            </w:pPr>
            <w:r>
              <w:rPr>
                <w:b w:val="0"/>
              </w:rPr>
              <w:t xml:space="preserve">Оf which: </w:t>
            </w:r>
          </w:p>
        </w:tc>
      </w:tr>
      <w:tr>
        <w:trPr>
          <w:wAfter w:w="0" w:type="dxa"/>
          <w:trHeight w:hRule="atLeast" w:val="553"/>
        </w:trPr>
        <w:tc>
          <w:tcPr>
            <w:tcW w:w="2508" w:type="dxa"/>
            <w:vMerge w:val="continue"/>
            <w:tcBorders>
              <w:left w:val="none" w:sz="0" w:space="0" w:shadow="0" w:frame="0"/>
              <w:bottom w:val="single" w:sz="4" w:space="0" w:shadow="0" w:frame="0"/>
            </w:tcBorders>
            <w:vAlign w:val="center"/>
          </w:tcPr>
          <w:p>
            <w:pPr>
              <w:pStyle w:val="P5"/>
              <w:rPr>
                <w:b w:val="0"/>
              </w:rPr>
            </w:pPr>
          </w:p>
        </w:tc>
        <w:tc>
          <w:tcPr>
            <w:tcW w:w="1111" w:type="dxa"/>
            <w:vMerge w:val="continue"/>
            <w:tcBorders>
              <w:bottom w:val="single" w:sz="4" w:space="0" w:shadow="0" w:frame="0"/>
            </w:tcBorders>
            <w:vAlign w:val="center"/>
          </w:tcPr>
          <w:p>
            <w:pPr>
              <w:pStyle w:val="P5"/>
              <w:rPr>
                <w:b w:val="0"/>
              </w:rPr>
            </w:pPr>
          </w:p>
        </w:tc>
        <w:tc>
          <w:tcPr>
            <w:tcW w:w="1407" w:type="dxa"/>
            <w:vMerge w:val="continue"/>
            <w:tcBorders>
              <w:bottom w:val="single" w:sz="4" w:space="0" w:shadow="0" w:frame="0"/>
            </w:tcBorders>
            <w:vAlign w:val="center"/>
          </w:tcPr>
          <w:p>
            <w:pPr>
              <w:pStyle w:val="P5"/>
              <w:rPr>
                <w:b w:val="0"/>
              </w:rPr>
            </w:pPr>
          </w:p>
        </w:tc>
        <w:tc>
          <w:tcPr>
            <w:tcW w:w="1599" w:type="dxa"/>
            <w:tcBorders>
              <w:bottom w:val="single" w:sz="4" w:space="0" w:shadow="0" w:frame="0"/>
            </w:tcBorders>
            <w:vAlign w:val="center"/>
          </w:tcPr>
          <w:p>
            <w:pPr>
              <w:pStyle w:val="P5"/>
              <w:rPr>
                <w:b w:val="0"/>
              </w:rPr>
            </w:pPr>
            <w:r>
              <w:rPr>
                <w:b w:val="0"/>
              </w:rPr>
              <w:t>P</w:t>
            </w:r>
            <w:r>
              <w:rPr>
                <w:b w:val="0"/>
              </w:rPr>
              <w:t xml:space="preserve">rice of construction            land</w:t>
            </w:r>
          </w:p>
        </w:tc>
        <w:tc>
          <w:tcPr>
            <w:tcW w:w="1645" w:type="dxa"/>
            <w:tcBorders>
              <w:bottom w:val="single" w:sz="4" w:space="0" w:shadow="0" w:frame="0"/>
            </w:tcBorders>
            <w:vAlign w:val="center"/>
          </w:tcPr>
          <w:p>
            <w:pPr>
              <w:pStyle w:val="P5"/>
              <w:rPr>
                <w:b w:val="0"/>
              </w:rPr>
            </w:pPr>
            <w:r>
              <w:rPr>
                <w:b w:val="0"/>
              </w:rPr>
              <w:t>P</w:t>
            </w:r>
            <w:r>
              <w:rPr>
                <w:b w:val="0"/>
              </w:rPr>
              <w:t xml:space="preserve">rice of construction </w:t>
            </w:r>
            <w:r>
              <w:rPr>
                <w:b w:val="0"/>
              </w:rPr>
              <w:t>works</w:t>
            </w:r>
          </w:p>
        </w:tc>
        <w:tc>
          <w:tcPr>
            <w:tcW w:w="1425" w:type="dxa"/>
            <w:tcBorders>
              <w:bottom w:val="single" w:sz="4" w:space="0" w:shadow="0" w:frame="0"/>
              <w:right w:val="none" w:sz="0" w:space="0" w:shadow="0" w:frame="0"/>
            </w:tcBorders>
            <w:vAlign w:val="center"/>
          </w:tcPr>
          <w:p>
            <w:pPr>
              <w:pStyle w:val="P5"/>
              <w:rPr>
                <w:b w:val="0"/>
              </w:rPr>
            </w:pPr>
            <w:r>
              <w:rPr>
                <w:b w:val="0"/>
              </w:rPr>
              <w:t>O</w:t>
            </w:r>
            <w:r>
              <w:rPr>
                <w:b w:val="0"/>
              </w:rPr>
              <w:t xml:space="preserve">ther </w:t>
            </w:r>
            <w:r>
              <w:rPr>
                <w:b w:val="0"/>
              </w:rPr>
              <w:t>expenditures</w:t>
            </w:r>
            <w:r>
              <w:rPr>
                <w:b w:val="0"/>
              </w:rPr>
              <w:t xml:space="preserve"> </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2"/>
              </w:rPr>
            </w:pPr>
            <w:r>
              <w:rPr>
                <w:rFonts w:ascii="Arial" w:hAnsi="Arial"/>
                <w:sz w:val="2"/>
              </w:rPr>
              <w:t xml:space="preserve"> </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
              </w:rPr>
            </w:pPr>
          </w:p>
        </w:tc>
        <w:tc>
          <w:tcPr>
            <w:tcW w:w="1407" w:type="dxa"/>
            <w:tcBorders>
              <w:top w:val="none" w:sz="0" w:space="0" w:shadow="0" w:frame="0"/>
              <w:left w:val="none" w:sz="0" w:space="0" w:shadow="0" w:frame="0"/>
              <w:bottom w:val="none" w:sz="0" w:space="0" w:shadow="0" w:frame="0"/>
              <w:right w:val="none" w:sz="0" w:space="0" w:shadow="0" w:frame="0"/>
            </w:tcBorders>
          </w:tcPr>
          <w:p>
            <w:pPr>
              <w:pStyle w:val="P5"/>
              <w:jc w:val="left"/>
              <w:rPr>
                <w:b w:val="0"/>
                <w:sz w:val="2"/>
              </w:rPr>
            </w:pPr>
          </w:p>
        </w:tc>
        <w:tc>
          <w:tcPr>
            <w:tcW w:w="1599" w:type="dxa"/>
            <w:tcBorders>
              <w:top w:val="none" w:sz="0" w:space="0" w:shadow="0" w:frame="0"/>
              <w:left w:val="none" w:sz="0" w:space="0" w:shadow="0" w:frame="0"/>
              <w:bottom w:val="none" w:sz="0" w:space="0" w:shadow="0" w:frame="0"/>
              <w:right w:val="none" w:sz="0" w:space="0" w:shadow="0" w:frame="0"/>
            </w:tcBorders>
          </w:tcPr>
          <w:p>
            <w:pPr>
              <w:pStyle w:val="P5"/>
              <w:jc w:val="left"/>
              <w:rPr>
                <w:b w:val="0"/>
                <w:sz w:val="2"/>
              </w:rPr>
            </w:pPr>
          </w:p>
        </w:tc>
        <w:tc>
          <w:tcPr>
            <w:tcW w:w="1645" w:type="dxa"/>
            <w:tcBorders>
              <w:top w:val="none" w:sz="0" w:space="0" w:shadow="0" w:frame="0"/>
              <w:left w:val="none" w:sz="0" w:space="0" w:shadow="0" w:frame="0"/>
              <w:bottom w:val="none" w:sz="0" w:space="0" w:shadow="0" w:frame="0"/>
              <w:right w:val="none" w:sz="0" w:space="0" w:shadow="0" w:frame="0"/>
            </w:tcBorders>
          </w:tcPr>
          <w:p>
            <w:pPr>
              <w:pStyle w:val="P5"/>
              <w:jc w:val="left"/>
              <w:rPr>
                <w:b w:val="0"/>
                <w:sz w:val="2"/>
              </w:rPr>
            </w:pPr>
          </w:p>
        </w:tc>
        <w:tc>
          <w:tcPr>
            <w:tcW w:w="1425" w:type="dxa"/>
            <w:tcBorders>
              <w:top w:val="none" w:sz="0" w:space="0" w:shadow="0" w:frame="0"/>
              <w:left w:val="none" w:sz="0" w:space="0" w:shadow="0" w:frame="0"/>
              <w:bottom w:val="none" w:sz="0" w:space="0" w:shadow="0" w:frame="0"/>
              <w:right w:val="none" w:sz="0" w:space="0" w:shadow="0" w:frame="0"/>
            </w:tcBorders>
          </w:tcPr>
          <w:p>
            <w:pPr>
              <w:pStyle w:val="P5"/>
              <w:jc w:val="left"/>
              <w:rPr>
                <w:b w:val="0"/>
                <w:sz w:val="2"/>
              </w:rPr>
            </w:pP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The city of Niš</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45</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82411</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12940</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59104</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10367</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The city of Novi Sad</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81</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100989</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14486</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68002</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18500</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Pančevo – town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57</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88985</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8369</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72923</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7693</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Paraćin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51</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74897</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11437</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50340</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13120</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Pirot</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54</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66670</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12878</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45075</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8717</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Ruma</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47</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71809</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10904</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40543</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20362</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Sombor – town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52</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68415</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3169</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61098</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4149</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Sremska Mitrovica</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68</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71811</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10280</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41758</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19773</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Subotica – town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56</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73437</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4822</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63613</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5002</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Ćuprija</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49</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54863</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8119</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41258</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5486</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Užice – town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42</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77551</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6200</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57221</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14130</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Čačak – town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53</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79620</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15103</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51749</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12768</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Šabac – town</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57</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71530</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14993</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38669</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17868</w:t>
            </w:r>
          </w:p>
        </w:tc>
      </w:tr>
      <w:tr>
        <w:trPr>
          <w:wAfter w:w="0" w:type="dxa"/>
        </w:trPr>
        <w:tc>
          <w:tcPr>
            <w:tcW w:w="2508"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rFonts w:ascii="Arial" w:hAnsi="Arial"/>
                <w:sz w:val="16"/>
              </w:rPr>
            </w:pPr>
            <w:r>
              <w:rPr>
                <w:rFonts w:ascii="Arial" w:hAnsi="Arial"/>
                <w:sz w:val="16"/>
              </w:rPr>
              <w:t>Other</w:t>
            </w:r>
          </w:p>
        </w:tc>
        <w:tc>
          <w:tcPr>
            <w:tcW w:w="111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52</w:t>
            </w:r>
          </w:p>
        </w:tc>
        <w:tc>
          <w:tcPr>
            <w:tcW w:w="1407"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70646</w:t>
            </w:r>
          </w:p>
        </w:tc>
        <w:tc>
          <w:tcPr>
            <w:tcW w:w="1599"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8626</w:t>
            </w:r>
          </w:p>
        </w:tc>
        <w:tc>
          <w:tcPr>
            <w:tcW w:w="164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48273</w:t>
            </w:r>
          </w:p>
        </w:tc>
        <w:tc>
          <w:tcPr>
            <w:tcW w:w="1425"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13747</w:t>
            </w:r>
          </w:p>
        </w:tc>
      </w:tr>
    </w:tbl>
    <w:p>
      <w:pPr>
        <w:pStyle w:val="P5"/>
        <w:jc w:val="left"/>
        <w:rPr>
          <w:b w:val="0"/>
          <w:sz w:val="14"/>
          <w:vertAlign w:val="superscript"/>
        </w:rPr>
      </w:pPr>
    </w:p>
    <w:p>
      <w:pPr>
        <w:pStyle w:val="P5"/>
        <w:jc w:val="left"/>
        <w:rPr>
          <w:b w:val="0"/>
          <w:sz w:val="14"/>
        </w:rPr>
      </w:pPr>
      <w:r>
        <w:rPr>
          <w:b w:val="0"/>
          <w:sz w:val="14"/>
          <w:vertAlign w:val="superscript"/>
        </w:rPr>
        <w:t>1</w:t>
      </w:r>
      <w:r>
        <w:rPr>
          <w:b w:val="0"/>
          <w:sz w:val="14"/>
          <w:vertAlign w:val="superscript"/>
        </w:rPr>
        <w:t>)</w:t>
      </w:r>
      <w:r>
        <w:rPr>
          <w:b w:val="0"/>
          <w:sz w:val="14"/>
        </w:rPr>
        <w:t xml:space="preserve"> </w:t>
      </w:r>
      <w:r>
        <w:rPr>
          <w:b w:val="0"/>
          <w:sz w:val="14"/>
        </w:rPr>
        <w:t>Presented are only the d</w:t>
      </w:r>
      <w:r>
        <w:rPr>
          <w:b w:val="0"/>
          <w:sz w:val="14"/>
        </w:rPr>
        <w:t>ata for selected citi</w:t>
      </w:r>
      <w:r>
        <w:rPr>
          <w:b w:val="0"/>
          <w:sz w:val="14"/>
        </w:rPr>
        <w:t>es where buying and selling has been carried out.</w:t>
      </w:r>
    </w:p>
    <w:p/>
    <w:p/>
    <w:p>
      <w:pPr>
        <w:jc w:val="center"/>
        <w:rPr>
          <w:rFonts w:ascii="Arial" w:hAnsi="Arial"/>
        </w:rPr>
      </w:pPr>
      <w:r>
        <w:rPr>
          <w:rFonts w:ascii="Arial" w:hAnsi="Arial"/>
        </w:rPr>
        <w:t>NOTES:</w:t>
      </w:r>
    </w:p>
    <w:p>
      <w:pPr>
        <w:jc w:val="both"/>
        <w:rPr>
          <w:rFonts w:ascii="Arial" w:hAnsi="Arial"/>
          <w:sz w:val="16"/>
        </w:rPr>
      </w:pPr>
    </w:p>
    <w:p>
      <w:pPr>
        <w:spacing w:before="120"/>
        <w:ind w:firstLine="397"/>
        <w:jc w:val="both"/>
        <w:rPr>
          <w:rFonts w:ascii="Arial" w:hAnsi="Arial"/>
          <w:sz w:val="20"/>
        </w:rPr>
      </w:pPr>
      <w:r>
        <w:rPr>
          <w:rFonts w:ascii="Arial" w:hAnsi="Arial"/>
          <w:sz w:val="20"/>
        </w:rPr>
        <w:t>Data presented are being collected in the scope of semi-annual survey on prices of dwellings of new construction. The survey</w:t>
      </w:r>
      <w:r>
        <w:rPr>
          <w:rFonts w:ascii="Arial" w:hAnsi="Arial"/>
          <w:sz w:val="28"/>
        </w:rPr>
        <w:t xml:space="preserve"> </w:t>
      </w:r>
      <w:r>
        <w:rPr>
          <w:rFonts w:ascii="Arial" w:hAnsi="Arial"/>
          <w:sz w:val="20"/>
        </w:rPr>
        <w:t>has been filled out by physical persons and legal entities that were selling new construction dwellings in the observed period.</w:t>
      </w:r>
    </w:p>
    <w:p>
      <w:pPr>
        <w:spacing w:before="120"/>
        <w:ind w:firstLine="397"/>
        <w:jc w:val="both"/>
        <w:rPr>
          <w:rFonts w:ascii="Arial" w:hAnsi="Arial"/>
          <w:sz w:val="20"/>
        </w:rPr>
      </w:pPr>
      <w:r>
        <w:rPr>
          <w:rFonts w:ascii="Arial" w:hAnsi="Arial"/>
          <w:sz w:val="20"/>
        </w:rPr>
        <w:t xml:space="preserve">In the scope of this survey, included are new construction dwellings for which in the reported semi-annual period sales contracts have been carried out between purchaser and seller in urban settlements.  </w:t>
      </w:r>
    </w:p>
    <w:p>
      <w:pPr>
        <w:spacing w:before="120"/>
        <w:ind w:firstLine="397"/>
        <w:jc w:val="both"/>
        <w:rPr>
          <w:rFonts w:ascii="Arial" w:hAnsi="Arial"/>
          <w:sz w:val="20"/>
        </w:rPr>
      </w:pPr>
      <w:r>
        <w:rPr>
          <w:rFonts w:ascii="Arial" w:hAnsi="Arial"/>
          <w:sz w:val="20"/>
        </w:rPr>
        <w:t xml:space="preserve">Average price for Belgrade includes urban parts of municipalities Vozdovac, Vracar, Zvezdara, Zemun, New Belgrade, Palilula, Rakovica, Savski venac, Stari grad and Cukarica. </w:t>
      </w:r>
    </w:p>
    <w:p>
      <w:pPr>
        <w:spacing w:before="120"/>
        <w:ind w:firstLine="397"/>
        <w:jc w:val="both"/>
        <w:rPr>
          <w:rFonts w:ascii="Arial" w:hAnsi="Arial"/>
          <w:sz w:val="20"/>
        </w:rPr>
      </w:pPr>
      <w:r>
        <w:rPr>
          <w:rFonts w:ascii="Arial" w:hAnsi="Arial"/>
          <w:sz w:val="20"/>
        </w:rPr>
        <w:t xml:space="preserve">Total price of dwellings includes the price of construction works, the price of construction land and other expenditures.  </w:t>
      </w:r>
    </w:p>
    <w:p>
      <w:pPr>
        <w:spacing w:before="120"/>
        <w:ind w:firstLine="397"/>
        <w:jc w:val="both"/>
        <w:rPr>
          <w:rFonts w:ascii="Arial" w:hAnsi="Arial"/>
          <w:sz w:val="20"/>
        </w:rPr>
      </w:pPr>
      <w:r>
        <w:rPr>
          <w:rFonts w:ascii="Arial" w:hAnsi="Arial"/>
          <w:sz w:val="20"/>
        </w:rPr>
        <w:t xml:space="preserve">Due to correct approach in data use, users attention is to be paid to the fact that published prices (prices per one square meter) are average ones, presenting the result of different characteristics of construction and difference in a month in which sales contract has been made on one territory (of the city, Republic and AP). </w:t>
      </w:r>
    </w:p>
    <w:p>
      <w:pPr>
        <w:spacing w:before="120"/>
        <w:ind w:firstLine="397"/>
        <w:jc w:val="both"/>
        <w:rPr>
          <w:rFonts w:ascii="Arial" w:hAnsi="Arial"/>
          <w:sz w:val="20"/>
        </w:rPr>
      </w:pPr>
      <w:r>
        <w:rPr>
          <w:rFonts w:ascii="Arial" w:hAnsi="Arial"/>
          <w:sz w:val="20"/>
        </w:rPr>
        <w:t xml:space="preserve">All prices present nominal expression of value from sales contracts (without value adjustment) and are presented per one square meter of useful (residential) area. The EUR rate is determined by average height of official (mean) rate of RSD in the observed period. As an average of the period (semi-annual and annual period) arithmetic mean of official (mean) rates is being taken, published by the National Bank of Serbia.      </w:t>
      </w:r>
    </w:p>
    <w:p>
      <w:pPr>
        <w:spacing w:before="120"/>
        <w:ind w:firstLine="397"/>
        <w:jc w:val="both"/>
        <w:rPr>
          <w:rFonts w:ascii="Arial" w:hAnsi="Arial"/>
          <w:sz w:val="20"/>
        </w:rPr>
      </w:pPr>
      <w:r>
        <w:rPr>
          <w:rFonts w:ascii="Arial" w:hAnsi="Arial"/>
          <w:sz w:val="20"/>
        </w:rPr>
        <w:t xml:space="preserve">Detailed methodological explanations can be found in the documentary material of the Statistical Office of the Republic of Serbia. </w:t>
      </w:r>
    </w:p>
    <w:p>
      <w:pPr>
        <w:spacing w:before="120"/>
        <w:ind w:firstLine="397"/>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ind w:firstLine="714"/>
        <w:jc w:val="both"/>
        <w:rPr>
          <w:rFonts w:ascii="Arial" w:hAnsi="Arial"/>
          <w:sz w:val="20"/>
        </w:rPr>
      </w:pPr>
    </w:p>
    <w:p>
      <w:pPr>
        <w:ind w:firstLine="720"/>
        <w:jc w:val="both"/>
        <w:rPr>
          <w:rFonts w:ascii="Arial" w:hAnsi="Arial"/>
          <w:sz w:val="20"/>
        </w:rPr>
      </w:pPr>
    </w:p>
    <w:p>
      <w:pPr>
        <w:ind w:firstLine="720"/>
        <w:jc w:val="both"/>
        <w:rPr>
          <w:rStyle w:val="C5"/>
          <w:rFonts w:ascii="Arial" w:hAnsi="Arial"/>
          <w:i w:val="0"/>
          <w:sz w:val="20"/>
        </w:rPr>
      </w:pPr>
    </w:p>
    <w:p>
      <w:pPr>
        <w:jc w:val="center"/>
        <w:rPr>
          <w:rFonts w:ascii="Arial" w:hAnsi="Arial"/>
          <w:sz w:val="20"/>
        </w:rPr>
      </w:pPr>
      <w:r>
        <w:rPr>
          <w:rFonts w:ascii="Arial" w:hAnsi="Arial"/>
          <w:sz w:val="20"/>
        </w:rPr>
        <w:tab/>
      </w:r>
    </w:p>
    <w:p>
      <w:pPr>
        <w:jc w:val="center"/>
        <w:rPr>
          <w:rFonts w:ascii="Arial" w:hAnsi="Arial"/>
          <w:sz w:val="20"/>
        </w:rPr>
      </w:pPr>
      <w:r>
        <w:rPr>
          <w:rFonts w:ascii="Arial" w:hAnsi="Arial"/>
          <w:sz w:val="20"/>
        </w:rPr>
        <w:t>Published and printed by: Statistical Office of the Republic of Serbia, Belgrade, Milana Rakica 5</w:t>
        <w:br w:type="textWrapping"/>
        <w:t xml:space="preserve">Phone: +381 11 2412922 ● Fax: +381 11 2411260 ● www.stat.gov.rs  </w:t>
      </w:r>
    </w:p>
    <w:p>
      <w:pPr>
        <w:jc w:val="center"/>
        <w:rPr>
          <w:rFonts w:ascii="Arial" w:hAnsi="Arial"/>
          <w:sz w:val="20"/>
        </w:rPr>
      </w:pPr>
      <w:r>
        <w:rPr>
          <w:rFonts w:ascii="Arial" w:hAnsi="Arial"/>
          <w:sz w:val="20"/>
        </w:rPr>
        <w:t>Responsible: Dragan Vukmirovic, PhD, Director</w:t>
        <w:br w:type="textWrapping"/>
        <w:t>Circulation: 20 ● Issued: Annually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097"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6"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SERB067 GR</w:t>
    </w:r>
    <w:r>
      <w:rPr>
        <w:rFonts w:ascii="Arial" w:hAnsi="Arial"/>
        <w:sz w:val="16"/>
      </w:rPr>
      <w:t>21 150313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259 GR</w:t>
    </w:r>
    <w:r>
      <w:rPr>
        <w:rFonts w:ascii="Arial" w:hAnsi="Arial"/>
        <w:sz w:val="16"/>
      </w:rPr>
      <w:t>20 150909</w:t>
    </w:r>
  </w:p>
</w:ftr>
</file>

<file path=word/numbering.xml><?xml version="1.0" encoding="utf-8"?>
<w:numbering xmlns:w="http://schemas.openxmlformats.org/wordprocessingml/2006/main">
  <w:abstractNum w:abstractNumId="0">
    <w:nsid w:val="2F7A1EC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3"/>
    <w:basedOn w:val="P0"/>
    <w:next w:val="P0"/>
    <w:pPr>
      <w:keepNext w:val="1"/>
      <w:outlineLvl w:val="2"/>
    </w:pPr>
    <w:rPr>
      <w:rFonts w:ascii="Arial" w:hAnsi="Arial"/>
      <w:b w:val="1"/>
      <w:sz w:val="72"/>
    </w:rPr>
  </w:style>
  <w:style w:type="paragraph" w:styleId="P3">
    <w:name w:val="Heading 5"/>
    <w:basedOn w:val="P0"/>
    <w:next w:val="P0"/>
    <w:pPr>
      <w:spacing w:before="240" w:after="60"/>
      <w:outlineLvl w:val="4"/>
    </w:pPr>
    <w:rPr>
      <w:b w:val="1"/>
      <w:i w:val="1"/>
      <w:sz w:val="26"/>
    </w:rPr>
  </w:style>
  <w:style w:type="paragraph" w:styleId="P4">
    <w:name w:val="Heading 6"/>
    <w:basedOn w:val="P0"/>
    <w:next w:val="P0"/>
    <w:pPr>
      <w:keepNext w:val="1"/>
      <w:jc w:val="center"/>
      <w:outlineLvl w:val="5"/>
    </w:pPr>
    <w:rPr>
      <w:rFonts w:ascii="Arial" w:hAnsi="Arial"/>
      <w:b w:val="1"/>
    </w:rPr>
  </w:style>
  <w:style w:type="paragraph" w:styleId="P5">
    <w:name w:val="Heading 8"/>
    <w:basedOn w:val="P0"/>
    <w:next w:val="P0"/>
    <w:pPr>
      <w:keepNext w:val="1"/>
      <w:spacing w:before="80" w:after="80"/>
      <w:jc w:val="center"/>
      <w:outlineLvl w:val="7"/>
    </w:pPr>
    <w:rPr>
      <w:rFonts w:ascii="Arial" w:hAnsi="Arial"/>
      <w:b w:val="1"/>
      <w:sz w:val="16"/>
    </w:rPr>
  </w:style>
  <w:style w:type="paragraph" w:styleId="P6">
    <w:name w:val="Footer"/>
    <w:basedOn w:val="P0"/>
    <w:next w:val="P6"/>
    <w:pPr>
      <w:tabs>
        <w:tab w:val="center" w:pos="4320" w:leader="none"/>
        <w:tab w:val="right" w:pos="8640" w:leader="none"/>
      </w:tabs>
    </w:pPr>
    <w:rPr/>
  </w:style>
  <w:style w:type="paragraph" w:styleId="P7">
    <w:name w:val="Body Text"/>
    <w:basedOn w:val="P0"/>
    <w:next w:val="P7"/>
    <w:pPr>
      <w:tabs>
        <w:tab w:val="left" w:pos="142" w:leader="none"/>
      </w:tabs>
      <w:jc w:val="both"/>
    </w:pPr>
    <w:rPr>
      <w:rFonts w:ascii="Arial" w:hAnsi="Arial"/>
      <w:sz w:val="22"/>
    </w:rPr>
  </w:style>
  <w:style w:type="paragraph" w:styleId="P8">
    <w:name w:val="Header"/>
    <w:basedOn w:val="P0"/>
    <w:next w:val="P8"/>
    <w:pPr>
      <w:tabs>
        <w:tab w:val="center" w:pos="4702" w:leader="none"/>
        <w:tab w:val="right" w:pos="9405" w:leader="none"/>
      </w:tabs>
    </w:pPr>
    <w:rPr/>
  </w:style>
  <w:style w:type="paragraph" w:styleId="P9">
    <w:name w:val=" Char Char Char Char Char1 Char"/>
    <w:basedOn w:val="P0"/>
    <w:next w:val="P9"/>
    <w:link w:val="C0"/>
    <w:pPr>
      <w:tabs>
        <w:tab w:val="left" w:pos="567" w:leader="none"/>
      </w:tabs>
      <w:spacing w:lineRule="exact" w:line="240" w:before="120" w:after="160"/>
      <w:ind w:hanging="504" w:left="1584"/>
    </w:pPr>
    <w:rPr>
      <w:rFonts w:ascii="Arial" w:hAnsi="Arial"/>
      <w:b w:val="1"/>
      <w:color w:val="000000"/>
    </w:rPr>
  </w:style>
  <w:style w:type="paragraph" w:styleId="P10">
    <w:name w:val="Subtitle"/>
    <w:basedOn w:val="P0"/>
    <w:next w:val="P10"/>
    <w:pPr>
      <w:spacing w:after="60"/>
      <w:jc w:val="center"/>
      <w:outlineLvl w:val="1"/>
    </w:pPr>
    <w:rPr>
      <w:rFonts w:ascii="Arial" w:hAnsi="Arial"/>
      <w:sz w:val="20"/>
    </w:rPr>
  </w:style>
  <w:style w:type="paragraph" w:styleId="P11">
    <w:name w:val="Balloon Text"/>
    <w:basedOn w:val="P0"/>
    <w:next w:val="P11"/>
    <w:pPr/>
    <w:rPr>
      <w:rFonts w:ascii="Tahoma" w:hAnsi="Tahoma"/>
      <w:sz w:val="16"/>
    </w:rPr>
  </w:style>
  <w:style w:type="character" w:styleId="C0" w:default="1">
    <w:name w:val="Default Paragraph Font"/>
    <w:link w:val="P9"/>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d44mk01</dc:creator>
  <dcterms:created xsi:type="dcterms:W3CDTF">2012-03-15T08:00:00Z</dcterms:created>
  <cp:lastModifiedBy>Nikola Kapetanovic</cp:lastModifiedBy>
  <cp:lastPrinted>2013-03-19T07:34:00Z</cp:lastPrinted>
  <dcterms:modified xsi:type="dcterms:W3CDTF">2020-01-10T11:42:30Z</dcterms:modified>
  <cp:revision>14</cp:revision>
  <dc:title>                                                                                                                                                                                         Republic of Serbia</dc:title>
</cp:coreProperties>
</file>