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73207A1" Type="http://schemas.openxmlformats.org/officeDocument/2006/relationships/officeDocument" Target="/word/document.xml" /><Relationship Id="coreR373207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w:t>
            </w:r>
            <w:r>
              <w:rPr>
                <w:b w:val="1"/>
                <w:color w:val="808080"/>
                <w:sz w:val="48"/>
              </w:rPr>
              <w:t>2</w:t>
            </w:r>
            <w:r>
              <w:rPr>
                <w:b w:val="1"/>
                <w:color w:val="808080"/>
                <w:sz w:val="48"/>
              </w:rPr>
              <w:t>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066 – Year LXIII, 15/03/2013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SERB066 GR20 150313</w:t>
            </w:r>
          </w:p>
        </w:tc>
      </w:tr>
    </w:tbl>
    <w:p/>
    <w:p>
      <w:pPr>
        <w:spacing w:lineRule="auto" w:line="360"/>
        <w:jc w:val="center"/>
        <w:rPr>
          <w:b w:val="0"/>
          <w:sz w:val="28"/>
        </w:rPr>
      </w:pPr>
    </w:p>
    <w:p>
      <w:pPr>
        <w:spacing w:lineRule="auto" w:line="360"/>
        <w:jc w:val="center"/>
        <w:rPr>
          <w:b w:val="0"/>
          <w:sz w:val="28"/>
        </w:rPr>
      </w:pPr>
    </w:p>
    <w:p>
      <w:pPr>
        <w:spacing w:lineRule="auto" w:line="360"/>
        <w:jc w:val="center"/>
        <w:rPr>
          <w:b w:val="0"/>
          <w:sz w:val="28"/>
        </w:rPr>
      </w:pPr>
      <w:r>
        <w:rPr>
          <w:b w:val="1"/>
          <w:sz w:val="28"/>
        </w:rPr>
        <w:t xml:space="preserve">Prices of dwellings of new construction in </w:t>
      </w:r>
      <w:r>
        <w:rPr>
          <w:b w:val="1"/>
          <w:sz w:val="28"/>
        </w:rPr>
        <w:t xml:space="preserve">the </w:t>
      </w:r>
      <w:r>
        <w:rPr>
          <w:b w:val="1"/>
          <w:sz w:val="28"/>
        </w:rPr>
        <w:t xml:space="preserve">Republic of Serbia </w:t>
      </w:r>
    </w:p>
    <w:p>
      <w:pPr>
        <w:spacing w:lineRule="auto" w:line="360"/>
        <w:jc w:val="center"/>
        <w:rPr>
          <w:b w:val="0"/>
          <w:sz w:val="28"/>
        </w:rPr>
      </w:pPr>
      <w:r>
        <w:rPr>
          <w:b w:val="1"/>
          <w:sz w:val="28"/>
        </w:rPr>
        <w:t>I</w:t>
      </w:r>
      <w:r>
        <w:rPr>
          <w:b w:val="1"/>
          <w:sz w:val="28"/>
        </w:rPr>
        <w:t>I</w:t>
      </w:r>
      <w:r>
        <w:rPr>
          <w:b w:val="1"/>
          <w:sz w:val="28"/>
        </w:rPr>
        <w:t xml:space="preserve"> half of 201</w:t>
      </w:r>
      <w:r>
        <w:rPr>
          <w:b w:val="1"/>
          <w:sz w:val="28"/>
        </w:rPr>
        <w:t>2</w:t>
      </w:r>
      <w:r>
        <w:rPr>
          <w:b w:val="1"/>
          <w:sz w:val="28"/>
        </w:rPr>
        <w:t xml:space="preserve"> </w:t>
      </w:r>
    </w:p>
    <w:p>
      <w:pPr>
        <w:jc w:val="center"/>
        <w:rPr>
          <w:b w:val="0"/>
        </w:rPr>
      </w:pPr>
      <w:r>
        <w:rPr>
          <w:b w:val="1"/>
        </w:rPr>
        <w:t>– Preliminary results –</w:t>
      </w:r>
    </w:p>
    <w:p>
      <w:pPr>
        <w:jc w:val="center"/>
        <w:rPr>
          <w:b w:val="0"/>
        </w:rPr>
      </w:pPr>
    </w:p>
    <w:p>
      <w:pPr>
        <w:jc w:val="center"/>
        <w:rPr>
          <w:b w:val="0"/>
        </w:rPr>
      </w:pPr>
    </w:p>
    <w:p>
      <w:pPr>
        <w:spacing w:before="120"/>
        <w:ind w:firstLine="397"/>
        <w:jc w:val="both"/>
      </w:pPr>
      <w:r>
        <w:t xml:space="preserve">Prices of dwellings of new construction in the Republic of Serbia in the second half of 2012, compared to the average prices in the first half of 2012, decreased by 0.8%. </w:t>
      </w:r>
    </w:p>
    <w:p>
      <w:pPr>
        <w:ind w:firstLine="397"/>
        <w:jc w:val="both"/>
      </w:pPr>
      <w:r>
        <w:t>Considering the change of the EUR exchange rate in the mentioned period, in the second half of 2012, the prices decreased by 5.1% compared to the first half of 2012. Observed in Euros, price of construction works decreased by 6.5%, price of construction land by 6.2%, while other expenditures increased by 3.3% relative to the first half of 2012.</w:t>
      </w:r>
    </w:p>
    <w:p>
      <w:pPr>
        <w:spacing w:before="120"/>
        <w:ind w:firstLine="397"/>
        <w:jc w:val="both"/>
      </w:pPr>
      <w:r>
        <w:t>The highest average price of dwellings of new construction in the Republic of Serbia</w:t>
      </w:r>
      <w:r>
        <w:rPr>
          <w:b w:val="1"/>
          <w:sz w:val="28"/>
        </w:rPr>
        <w:t xml:space="preserve"> </w:t>
      </w:r>
      <w:r>
        <w:t>in the second half of 2012</w:t>
      </w:r>
      <w:r>
        <w:rPr>
          <w:b w:val="1"/>
          <w:sz w:val="28"/>
        </w:rPr>
        <w:t xml:space="preserve"> </w:t>
      </w:r>
      <w:r>
        <w:t xml:space="preserve">was recorded in Belgrade and amounted to RSD 175 090, presenting the decrease of 1.4% compared to the first half of 2012. Expressed in EUR, in the same period, prices in Belgrade decreased by 5.7%, relative to the first half of 2012. </w:t>
      </w:r>
    </w:p>
    <w:p>
      <w:pPr>
        <w:spacing w:before="120"/>
        <w:ind w:firstLine="397"/>
        <w:jc w:val="both"/>
      </w:pPr>
      <w:r>
        <w:t>Average area of sold dwellings of new construction in the Republic of Serbia in the second half of 2012 amounts to 54 m</w:t>
      </w:r>
      <w:r>
        <w:rPr>
          <w:vertAlign w:val="superscript"/>
        </w:rPr>
        <w:t>2</w:t>
      </w:r>
      <w:r>
        <w:t>. Observed by towns, average area of sold dwellings was between 40 m</w:t>
      </w:r>
      <w:r>
        <w:rPr>
          <w:vertAlign w:val="superscript"/>
        </w:rPr>
        <w:t xml:space="preserve">2 </w:t>
      </w:r>
      <w:r>
        <w:t xml:space="preserve">in Kragujevac up to                           73 m</w:t>
      </w:r>
      <w:r>
        <w:rPr>
          <w:vertAlign w:val="superscript"/>
        </w:rPr>
        <w:t>2</w:t>
      </w:r>
      <w:r>
        <w:t xml:space="preserve"> in Leskovac.  </w:t>
      </w:r>
    </w:p>
    <w:p>
      <w:pPr>
        <w:spacing w:before="120"/>
        <w:ind w:firstLine="397"/>
        <w:jc w:val="both"/>
        <w:rPr>
          <w:b w:val="0"/>
        </w:rPr>
      </w:pPr>
      <w:r>
        <w:t xml:space="preserve">Detailed monthly data regarding this activity are available on the website of the Office </w:t>
      </w:r>
      <w:r>
        <w:fldChar w:fldCharType="begin"/>
      </w:r>
      <w:r>
        <w:instrText xml:space="preserve"> HYPERLINK "http://www.stat.gov.rs" </w:instrText>
      </w:r>
      <w:r>
        <w:fldChar w:fldCharType="separate"/>
      </w:r>
      <w:r>
        <w:rPr>
          <w:rStyle w:val="C2"/>
          <w:color w:val="auto"/>
        </w:rPr>
        <w:t>www.stat.gov.rs</w:t>
      </w:r>
      <w:r>
        <w:rPr>
          <w:rStyle w:val="C2"/>
          <w:color w:val="auto"/>
        </w:rPr>
        <w:fldChar w:fldCharType="end"/>
      </w:r>
      <w:r>
        <w:t xml:space="preserve"> (Construction Activity and databases). </w:t>
      </w:r>
    </w:p>
    <w:p>
      <w:pPr>
        <w:jc w:val="center"/>
        <w:rPr>
          <w:b w:val="0"/>
        </w:rPr>
      </w:pPr>
    </w:p>
    <w:p>
      <w:pPr>
        <w:jc w:val="center"/>
        <w:rPr>
          <w:b w:val="0"/>
        </w:rPr>
      </w:pPr>
    </w:p>
    <w:p>
      <w:pPr>
        <w:jc w:val="center"/>
        <w:rPr>
          <w:b w:val="0"/>
        </w:rPr>
      </w:pPr>
    </w:p>
    <w:p>
      <w:pPr>
        <w:spacing w:after="60"/>
        <w:jc w:val="center"/>
        <w:rPr>
          <w:b w:val="0"/>
        </w:rPr>
      </w:pPr>
      <w:r>
        <w:rPr>
          <w:b w:val="1"/>
        </w:rPr>
        <w:t>1. Prices of dwellings of new construction</w:t>
      </w:r>
      <w:r>
        <w:rPr>
          <w:b w:val="1"/>
          <w:sz w:val="28"/>
        </w:rPr>
        <w:t xml:space="preserve"> </w:t>
      </w:r>
      <w:r>
        <w:rPr>
          <w:b w:val="1"/>
        </w:rPr>
        <w:t xml:space="preserve">in the </w:t>
      </w:r>
      <w:r>
        <w:rPr>
          <w:b w:val="1"/>
        </w:rPr>
        <w:t>second</w:t>
      </w:r>
      <w:r>
        <w:rPr>
          <w:b w:val="1"/>
        </w:rPr>
        <w:t xml:space="preserve"> half of</w:t>
      </w:r>
      <w:r>
        <w:t xml:space="preserve"> </w:t>
      </w:r>
      <w:r>
        <w:rPr>
          <w:b w:val="1"/>
        </w:rPr>
        <w:t>201</w:t>
      </w:r>
      <w:r>
        <w:rPr>
          <w:b w:val="1"/>
        </w:rPr>
        <w:t>2</w:t>
      </w:r>
      <w:r>
        <w:rPr>
          <w:b w:val="1"/>
          <w:vertAlign w:val="superscript"/>
        </w:rPr>
        <w:t>1</w:t>
      </w:r>
    </w:p>
    <w:tbl>
      <w:tblPr>
        <w:tblStyle w:val="T3"/>
        <w:tblW w:w="0" w:type="auto"/>
        <w:jc w:val="center"/>
        <w:tblLayout w:type="fixed"/>
        <w:tblCellMar>
          <w:left w:w="28" w:type="dxa"/>
          <w:right w:w="28" w:type="dxa"/>
        </w:tblCellMar>
      </w:tblPr>
      <w:tblGrid/>
      <w:tr>
        <w:trPr>
          <w:wAfter w:w="0" w:type="dxa"/>
        </w:trPr>
        <w:tc>
          <w:tcPr>
            <w:tcW w:w="2835" w:type="dxa"/>
            <w:vMerge w:val="restart"/>
            <w:tcBorders>
              <w:left w:val="none" w:sz="0" w:space="0" w:shadow="0" w:frame="0"/>
            </w:tcBorders>
            <w:vAlign w:val="center"/>
          </w:tcPr>
          <w:p>
            <w:pPr>
              <w:pStyle w:val="P8"/>
              <w:jc w:val="center"/>
              <w:rPr>
                <w:rFonts w:ascii="Arial" w:hAnsi="Arial"/>
                <w:i w:val="1"/>
                <w:sz w:val="16"/>
              </w:rPr>
            </w:pPr>
          </w:p>
        </w:tc>
        <w:tc>
          <w:tcPr>
            <w:tcW w:w="1474" w:type="dxa"/>
            <w:vMerge w:val="restart"/>
            <w:vAlign w:val="center"/>
          </w:tcPr>
          <w:p>
            <w:pPr>
              <w:pStyle w:val="P8"/>
              <w:spacing w:before="0" w:after="0"/>
              <w:jc w:val="center"/>
              <w:rPr>
                <w:rFonts w:ascii="Arial" w:hAnsi="Arial"/>
                <w:i w:val="1"/>
                <w:sz w:val="16"/>
              </w:rPr>
            </w:pPr>
            <w:r>
              <w:rPr>
                <w:rFonts w:ascii="Arial" w:hAnsi="Arial"/>
                <w:i w:val="0"/>
                <w:sz w:val="16"/>
              </w:rPr>
              <w:t>Average dwellings’ area in m²</w:t>
            </w:r>
          </w:p>
        </w:tc>
        <w:tc>
          <w:tcPr>
            <w:tcW w:w="1474" w:type="dxa"/>
            <w:vMerge w:val="restart"/>
            <w:vAlign w:val="center"/>
          </w:tcPr>
          <w:p>
            <w:pPr>
              <w:jc w:val="center"/>
              <w:rPr>
                <w:sz w:val="16"/>
              </w:rPr>
            </w:pPr>
            <w:r>
              <w:rPr>
                <w:sz w:val="16"/>
              </w:rPr>
              <w:t xml:space="preserve">Price by 1 m²,                             in RSD, total</w:t>
            </w:r>
          </w:p>
        </w:tc>
        <w:tc>
          <w:tcPr>
            <w:tcW w:w="4422" w:type="dxa"/>
            <w:gridSpan w:val="3"/>
            <w:tcBorders>
              <w:right w:val="none" w:sz="0" w:space="0" w:shadow="0" w:frame="0"/>
            </w:tcBorders>
            <w:vAlign w:val="center"/>
          </w:tcPr>
          <w:p>
            <w:pPr>
              <w:pStyle w:val="P8"/>
              <w:jc w:val="center"/>
              <w:rPr>
                <w:rFonts w:ascii="Arial" w:hAnsi="Arial"/>
                <w:i w:val="1"/>
                <w:sz w:val="16"/>
              </w:rPr>
            </w:pPr>
            <w:r>
              <w:rPr>
                <w:rFonts w:ascii="Arial" w:hAnsi="Arial"/>
                <w:i w:val="0"/>
                <w:sz w:val="16"/>
              </w:rPr>
              <w:t>Оf which:</w:t>
            </w:r>
          </w:p>
        </w:tc>
      </w:tr>
      <w:tr>
        <w:trPr>
          <w:wAfter w:w="0" w:type="dxa"/>
        </w:trPr>
        <w:tc>
          <w:tcPr>
            <w:tcW w:w="2835" w:type="dxa"/>
            <w:vMerge w:val="continue"/>
            <w:tcBorders>
              <w:left w:val="none" w:sz="0" w:space="0" w:shadow="0" w:frame="0"/>
              <w:bottom w:val="single" w:sz="4" w:space="0" w:shadow="0" w:frame="0"/>
            </w:tcBorders>
            <w:vAlign w:val="center"/>
          </w:tcPr>
          <w:p>
            <w:pPr>
              <w:pStyle w:val="P8"/>
              <w:jc w:val="center"/>
              <w:rPr>
                <w:rFonts w:ascii="Arial" w:hAnsi="Arial"/>
                <w:i w:val="1"/>
                <w:sz w:val="16"/>
              </w:rPr>
            </w:pPr>
          </w:p>
        </w:tc>
        <w:tc>
          <w:tcPr>
            <w:tcW w:w="1474" w:type="dxa"/>
            <w:vMerge w:val="continue"/>
            <w:tcBorders>
              <w:bottom w:val="single" w:sz="4" w:space="0" w:shadow="0" w:frame="0"/>
            </w:tcBorders>
            <w:vAlign w:val="center"/>
          </w:tcPr>
          <w:p>
            <w:pPr>
              <w:pStyle w:val="P8"/>
              <w:jc w:val="center"/>
              <w:rPr>
                <w:rFonts w:ascii="Arial" w:hAnsi="Arial"/>
                <w:i w:val="1"/>
                <w:sz w:val="16"/>
              </w:rPr>
            </w:pPr>
          </w:p>
        </w:tc>
        <w:tc>
          <w:tcPr>
            <w:tcW w:w="1474" w:type="dxa"/>
            <w:vMerge w:val="continue"/>
            <w:tcBorders>
              <w:bottom w:val="single" w:sz="4" w:space="0" w:shadow="0" w:frame="0"/>
            </w:tcBorders>
            <w:vAlign w:val="center"/>
          </w:tcPr>
          <w:p>
            <w:pPr>
              <w:pStyle w:val="P8"/>
              <w:jc w:val="center"/>
              <w:rPr>
                <w:rFonts w:ascii="Arial" w:hAnsi="Arial"/>
                <w:i w:val="1"/>
                <w:sz w:val="16"/>
              </w:rPr>
            </w:pPr>
          </w:p>
        </w:tc>
        <w:tc>
          <w:tcPr>
            <w:tcW w:w="1474" w:type="dxa"/>
            <w:tcBorders>
              <w:bottom w:val="single" w:sz="4" w:space="0" w:shadow="0" w:frame="0"/>
            </w:tcBorders>
            <w:vAlign w:val="center"/>
          </w:tcPr>
          <w:p>
            <w:pPr>
              <w:pStyle w:val="P8"/>
              <w:jc w:val="center"/>
              <w:rPr>
                <w:rFonts w:ascii="Arial" w:hAnsi="Arial"/>
                <w:i w:val="1"/>
                <w:sz w:val="16"/>
              </w:rPr>
            </w:pPr>
            <w:r>
              <w:rPr>
                <w:rFonts w:ascii="Arial" w:hAnsi="Arial"/>
                <w:i w:val="0"/>
                <w:sz w:val="16"/>
              </w:rPr>
              <w:t xml:space="preserve">price of construction            land</w:t>
            </w:r>
          </w:p>
        </w:tc>
        <w:tc>
          <w:tcPr>
            <w:tcW w:w="1474" w:type="dxa"/>
            <w:tcBorders>
              <w:bottom w:val="single" w:sz="4" w:space="0" w:shadow="0" w:frame="0"/>
            </w:tcBorders>
            <w:vAlign w:val="center"/>
          </w:tcPr>
          <w:p>
            <w:pPr>
              <w:pStyle w:val="P8"/>
              <w:jc w:val="center"/>
              <w:rPr>
                <w:rFonts w:ascii="Arial" w:hAnsi="Arial"/>
                <w:i w:val="1"/>
                <w:sz w:val="16"/>
              </w:rPr>
            </w:pPr>
            <w:r>
              <w:rPr>
                <w:rFonts w:ascii="Arial" w:hAnsi="Arial"/>
                <w:i w:val="0"/>
                <w:sz w:val="16"/>
              </w:rPr>
              <w:t xml:space="preserve">price of construction </w:t>
            </w:r>
            <w:r>
              <w:rPr>
                <w:rFonts w:ascii="Arial" w:hAnsi="Arial"/>
                <w:i w:val="0"/>
                <w:sz w:val="16"/>
              </w:rPr>
              <w:t>works</w:t>
            </w:r>
          </w:p>
        </w:tc>
        <w:tc>
          <w:tcPr>
            <w:tcW w:w="1474" w:type="dxa"/>
            <w:tcBorders>
              <w:bottom w:val="single" w:sz="4" w:space="0" w:shadow="0" w:frame="0"/>
              <w:right w:val="none" w:sz="0" w:space="0" w:shadow="0" w:frame="0"/>
            </w:tcBorders>
            <w:vAlign w:val="center"/>
          </w:tcPr>
          <w:p>
            <w:pPr>
              <w:pStyle w:val="P8"/>
              <w:jc w:val="center"/>
              <w:rPr>
                <w:rFonts w:ascii="Arial" w:hAnsi="Arial"/>
                <w:i w:val="1"/>
                <w:sz w:val="16"/>
              </w:rPr>
            </w:pPr>
            <w:r>
              <w:rPr>
                <w:rFonts w:ascii="Arial" w:hAnsi="Arial"/>
                <w:i w:val="0"/>
                <w:sz w:val="16"/>
              </w:rPr>
              <w:t xml:space="preserve">other </w:t>
            </w:r>
            <w:r>
              <w:rPr>
                <w:rFonts w:ascii="Arial" w:hAnsi="Arial"/>
                <w:i w:val="0"/>
                <w:sz w:val="16"/>
              </w:rPr>
              <w:t xml:space="preserve">               </w:t>
            </w:r>
            <w:r>
              <w:rPr>
                <w:rFonts w:ascii="Arial" w:hAnsi="Arial"/>
                <w:i w:val="0"/>
                <w:sz w:val="16"/>
              </w:rPr>
              <w:t>expenditures</w:t>
            </w:r>
          </w:p>
        </w:tc>
      </w:tr>
      <w:tr>
        <w:trPr>
          <w:wAfter w:w="0" w:type="dxa"/>
          <w:trHeight w:hRule="atLeast" w:val="179"/>
        </w:trPr>
        <w:tc>
          <w:tcPr>
            <w:tcW w:w="2835" w:type="dxa"/>
            <w:tcBorders>
              <w:top w:val="single" w:sz="4" w:space="0" w:shadow="0" w:frame="0"/>
              <w:left w:val="none" w:sz="0" w:space="0" w:shadow="0" w:frame="0"/>
              <w:bottom w:val="none" w:sz="0" w:space="0" w:shadow="0" w:frame="0"/>
              <w:right w:val="single" w:sz="4" w:space="0" w:shadow="0" w:frame="0"/>
            </w:tcBorders>
          </w:tcPr>
          <w:p>
            <w:pPr>
              <w:rPr>
                <w:b w:val="0"/>
                <w:sz w:val="16"/>
              </w:rPr>
            </w:pPr>
          </w:p>
        </w:tc>
        <w:tc>
          <w:tcPr>
            <w:tcW w:w="1474" w:type="dxa"/>
            <w:tcBorders>
              <w:top w:val="single" w:sz="4" w:space="0" w:shadow="0" w:frame="0"/>
              <w:left w:val="single" w:sz="4"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Pr>
          <w:p>
            <w:pPr>
              <w:rPr>
                <w:b w:val="0"/>
                <w:sz w:val="16"/>
              </w:rPr>
            </w:pPr>
            <w:r>
              <w:rPr>
                <w:b w:val="1"/>
                <w:sz w:val="16"/>
              </w:rPr>
              <w:t>REPUBLIC OF SERBIA</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54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133383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30573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83426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19384</w:t>
            </w:r>
          </w:p>
        </w:tc>
      </w:tr>
      <w:tr>
        <w:trPr>
          <w:wAfter w:w="0" w:type="dxa"/>
          <w:trHeight w:hRule="atLeast" w:val="101"/>
        </w:trPr>
        <w:tc>
          <w:tcPr>
            <w:tcW w:w="2835" w:type="dxa"/>
            <w:tcBorders>
              <w:top w:val="none" w:sz="0" w:space="0" w:shadow="0" w:frame="0"/>
              <w:left w:val="none" w:sz="0" w:space="0" w:shadow="0" w:frame="0"/>
              <w:bottom w:val="none" w:sz="0" w:space="0" w:shadow="0" w:frame="0"/>
              <w:right w:val="single" w:sz="4" w:space="0" w:shadow="0" w:frame="0"/>
            </w:tcBorders>
            <w:vAlign w:val="bottom"/>
          </w:tcPr>
          <w:p>
            <w:pPr>
              <w:ind w:hanging="138" w:left="120"/>
              <w:rPr>
                <w:b w:val="0"/>
                <w:sz w:val="16"/>
              </w:rPr>
            </w:pPr>
            <w:r>
              <w:rPr>
                <w:b w:val="1"/>
                <w:sz w:val="16"/>
              </w:rPr>
              <w:t xml:space="preserve"> АP Vojvodina </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57</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93170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17235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59294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b w:val="0"/>
                <w:sz w:val="16"/>
              </w:rPr>
            </w:pPr>
            <w:r>
              <w:rPr>
                <w:b w:val="1"/>
                <w:sz w:val="16"/>
              </w:rPr>
              <w:t>16641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The City of Belgrade </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175090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45617</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106630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22843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Backa Palanka</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61</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77326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16845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49143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11339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Valjevo – town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86289</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11530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60358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14401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Vrnjačka Banja</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44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136227</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12854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95672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27701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Vršac</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63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104143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6454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74446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23243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Zrenjanin – town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61</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80309</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15202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53450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11657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Jagodina – town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67</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66471</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1579</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46351</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18540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Kragujevac – town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40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108190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12615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75728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19847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Kraljevo – town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92974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17635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65089</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10250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Kruševac – town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45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78000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11200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58000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8800</w:t>
            </w:r>
          </w:p>
        </w:tc>
      </w:tr>
      <w:tr>
        <w:trPr>
          <w:wAfter w:w="0" w:type="dxa"/>
        </w:trPr>
        <w:tc>
          <w:tcPr>
            <w:tcW w:w="2835"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Lazarevac</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84336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27218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49562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7556</w:t>
            </w:r>
          </w:p>
        </w:tc>
      </w:tr>
    </w:tbl>
    <w:p>
      <w:pPr>
        <w:pStyle w:val="P8"/>
        <w:spacing w:before="0" w:after="0"/>
        <w:rPr>
          <w:rFonts w:ascii="Arial" w:hAnsi="Arial"/>
          <w:i w:val="1"/>
          <w:sz w:val="14"/>
          <w:vertAlign w:val="superscript"/>
        </w:rPr>
      </w:pPr>
    </w:p>
    <w:p>
      <w:pPr>
        <w:pStyle w:val="P8"/>
        <w:spacing w:before="60" w:after="0"/>
        <w:rPr>
          <w:rFonts w:ascii="Arial" w:hAnsi="Arial"/>
          <w:i w:val="1"/>
          <w:sz w:val="14"/>
        </w:rPr>
      </w:pPr>
      <w:r>
        <w:rPr>
          <w:rFonts w:ascii="Arial" w:hAnsi="Arial"/>
          <w:i w:val="0"/>
          <w:sz w:val="14"/>
          <w:vertAlign w:val="superscript"/>
        </w:rPr>
        <w:t>1</w:t>
      </w:r>
      <w:r>
        <w:rPr>
          <w:rFonts w:ascii="Arial" w:hAnsi="Arial"/>
          <w:i w:val="0"/>
          <w:sz w:val="14"/>
        </w:rPr>
        <w:t xml:space="preserve"> Presented are only the data on selected cities where buying and selling were performed.</w:t>
      </w:r>
    </w:p>
    <w:p>
      <w:pPr>
        <w:spacing w:after="60"/>
        <w:jc w:val="center"/>
      </w:pPr>
      <w:r>
        <w:rPr>
          <w:b w:val="1"/>
        </w:rPr>
        <w:t>1. Prices of dwellings of new construction</w:t>
      </w:r>
      <w:r>
        <w:rPr>
          <w:b w:val="1"/>
          <w:sz w:val="28"/>
        </w:rPr>
        <w:t xml:space="preserve"> </w:t>
      </w:r>
      <w:r>
        <w:rPr>
          <w:b w:val="1"/>
        </w:rPr>
        <w:t xml:space="preserve">in the </w:t>
      </w:r>
      <w:r>
        <w:rPr>
          <w:b w:val="1"/>
        </w:rPr>
        <w:t>second</w:t>
      </w:r>
      <w:r>
        <w:rPr>
          <w:b w:val="1"/>
        </w:rPr>
        <w:t xml:space="preserve"> half of</w:t>
      </w:r>
      <w:r>
        <w:t xml:space="preserve"> </w:t>
      </w:r>
      <w:r>
        <w:rPr>
          <w:b w:val="1"/>
        </w:rPr>
        <w:t>201</w:t>
      </w:r>
      <w:r>
        <w:rPr>
          <w:b w:val="1"/>
        </w:rPr>
        <w:t>2</w:t>
      </w:r>
      <w:r>
        <w:rPr>
          <w:b w:val="1"/>
          <w:vertAlign w:val="superscript"/>
        </w:rPr>
        <w:t>1</w:t>
      </w:r>
      <w:r>
        <w:rPr>
          <w:b w:val="1"/>
        </w:rPr>
        <w:t xml:space="preserve">  </w:t>
      </w:r>
      <w:r>
        <w:t xml:space="preserve"> (continued)</w:t>
      </w:r>
    </w:p>
    <w:tbl>
      <w:tblPr>
        <w:tblStyle w:val="T3"/>
        <w:tblW w:w="0" w:type="auto"/>
        <w:jc w:val="center"/>
        <w:tblLayout w:type="autofit"/>
        <w:tblCellMar>
          <w:left w:w="28" w:type="dxa"/>
          <w:right w:w="28" w:type="dxa"/>
        </w:tblCellMar>
      </w:tblPr>
      <w:tblGrid/>
      <w:tr>
        <w:trPr>
          <w:wAfter w:w="0" w:type="dxa"/>
        </w:trPr>
        <w:tc>
          <w:tcPr>
            <w:tcW w:w="2396" w:type="dxa"/>
            <w:vMerge w:val="restart"/>
            <w:tcBorders>
              <w:left w:val="none" w:sz="0" w:space="0" w:shadow="0" w:frame="0"/>
            </w:tcBorders>
            <w:vAlign w:val="center"/>
          </w:tcPr>
          <w:p>
            <w:pPr>
              <w:pStyle w:val="P8"/>
              <w:jc w:val="center"/>
              <w:rPr>
                <w:rFonts w:ascii="Arial" w:hAnsi="Arial"/>
                <w:i w:val="1"/>
                <w:sz w:val="16"/>
              </w:rPr>
            </w:pPr>
          </w:p>
        </w:tc>
        <w:tc>
          <w:tcPr>
            <w:tcW w:w="1531" w:type="dxa"/>
            <w:vMerge w:val="restart"/>
            <w:vAlign w:val="center"/>
          </w:tcPr>
          <w:p>
            <w:pPr>
              <w:pStyle w:val="P8"/>
              <w:spacing w:before="0" w:after="0"/>
              <w:jc w:val="center"/>
              <w:rPr>
                <w:rFonts w:ascii="Arial" w:hAnsi="Arial"/>
                <w:i w:val="1"/>
                <w:sz w:val="16"/>
              </w:rPr>
            </w:pPr>
            <w:r>
              <w:rPr>
                <w:rFonts w:ascii="Arial" w:hAnsi="Arial"/>
                <w:i w:val="0"/>
                <w:sz w:val="16"/>
              </w:rPr>
              <w:t>Average dwellings’ area in m²</w:t>
            </w:r>
          </w:p>
        </w:tc>
        <w:tc>
          <w:tcPr>
            <w:tcW w:w="1531" w:type="dxa"/>
            <w:vMerge w:val="restart"/>
            <w:vAlign w:val="center"/>
          </w:tcPr>
          <w:p>
            <w:pPr>
              <w:jc w:val="center"/>
              <w:rPr>
                <w:sz w:val="16"/>
              </w:rPr>
            </w:pPr>
            <w:r>
              <w:rPr>
                <w:sz w:val="16"/>
              </w:rPr>
              <w:t xml:space="preserve">Price by 1 m²,                             in RSD, total</w:t>
            </w:r>
          </w:p>
        </w:tc>
        <w:tc>
          <w:tcPr>
            <w:tcW w:w="1531" w:type="dxa"/>
            <w:gridSpan w:val="3"/>
            <w:tcBorders>
              <w:right w:val="none" w:sz="0" w:space="0" w:shadow="0" w:frame="0"/>
            </w:tcBorders>
            <w:vAlign w:val="center"/>
          </w:tcPr>
          <w:p>
            <w:pPr>
              <w:pStyle w:val="P8"/>
              <w:jc w:val="center"/>
              <w:rPr>
                <w:rFonts w:ascii="Arial" w:hAnsi="Arial"/>
                <w:i w:val="1"/>
                <w:sz w:val="16"/>
              </w:rPr>
            </w:pPr>
            <w:r>
              <w:rPr>
                <w:rFonts w:ascii="Arial" w:hAnsi="Arial"/>
                <w:i w:val="0"/>
                <w:sz w:val="16"/>
              </w:rPr>
              <w:t>Оf which:</w:t>
            </w:r>
          </w:p>
        </w:tc>
      </w:tr>
      <w:tr>
        <w:trPr>
          <w:wAfter w:w="0" w:type="dxa"/>
        </w:trPr>
        <w:tc>
          <w:tcPr>
            <w:tcW w:w="2396" w:type="dxa"/>
            <w:vMerge w:val="continue"/>
            <w:tcBorders>
              <w:left w:val="none" w:sz="0" w:space="0" w:shadow="0" w:frame="0"/>
              <w:bottom w:val="single" w:sz="4" w:space="0" w:shadow="0" w:frame="0"/>
            </w:tcBorders>
            <w:vAlign w:val="center"/>
          </w:tcPr>
          <w:p>
            <w:pPr>
              <w:pStyle w:val="P8"/>
              <w:jc w:val="center"/>
              <w:rPr>
                <w:rFonts w:ascii="Arial" w:hAnsi="Arial"/>
                <w:i w:val="1"/>
                <w:sz w:val="16"/>
              </w:rPr>
            </w:pPr>
          </w:p>
        </w:tc>
        <w:tc>
          <w:tcPr>
            <w:tcW w:w="1531" w:type="dxa"/>
            <w:vMerge w:val="continue"/>
            <w:tcBorders>
              <w:bottom w:val="single" w:sz="4" w:space="0" w:shadow="0" w:frame="0"/>
            </w:tcBorders>
            <w:vAlign w:val="center"/>
          </w:tcPr>
          <w:p>
            <w:pPr>
              <w:pStyle w:val="P8"/>
              <w:jc w:val="center"/>
              <w:rPr>
                <w:rFonts w:ascii="Arial" w:hAnsi="Arial"/>
                <w:i w:val="1"/>
                <w:sz w:val="16"/>
              </w:rPr>
            </w:pPr>
          </w:p>
        </w:tc>
        <w:tc>
          <w:tcPr>
            <w:tcW w:w="1531" w:type="dxa"/>
            <w:vMerge w:val="continue"/>
            <w:tcBorders>
              <w:bottom w:val="single" w:sz="4" w:space="0" w:shadow="0" w:frame="0"/>
            </w:tcBorders>
            <w:vAlign w:val="center"/>
          </w:tcPr>
          <w:p>
            <w:pPr>
              <w:pStyle w:val="P8"/>
              <w:jc w:val="center"/>
              <w:rPr>
                <w:rFonts w:ascii="Arial" w:hAnsi="Arial"/>
                <w:i w:val="1"/>
                <w:sz w:val="16"/>
              </w:rPr>
            </w:pPr>
          </w:p>
        </w:tc>
        <w:tc>
          <w:tcPr>
            <w:tcW w:w="1531" w:type="dxa"/>
            <w:tcBorders>
              <w:bottom w:val="single" w:sz="4" w:space="0" w:shadow="0" w:frame="0"/>
            </w:tcBorders>
            <w:vAlign w:val="center"/>
          </w:tcPr>
          <w:p>
            <w:pPr>
              <w:pStyle w:val="P8"/>
              <w:jc w:val="center"/>
              <w:rPr>
                <w:rFonts w:ascii="Arial" w:hAnsi="Arial"/>
                <w:i w:val="1"/>
                <w:sz w:val="16"/>
              </w:rPr>
            </w:pPr>
            <w:r>
              <w:rPr>
                <w:rFonts w:ascii="Arial" w:hAnsi="Arial"/>
                <w:i w:val="0"/>
                <w:sz w:val="16"/>
              </w:rPr>
              <w:t xml:space="preserve">price of </w:t>
            </w:r>
            <w:r>
              <w:rPr>
                <w:rFonts w:ascii="Arial" w:hAnsi="Arial"/>
                <w:i w:val="0"/>
                <w:sz w:val="16"/>
              </w:rPr>
              <w:t xml:space="preserve">    </w:t>
            </w:r>
            <w:r>
              <w:rPr>
                <w:rFonts w:ascii="Arial" w:hAnsi="Arial"/>
                <w:i w:val="0"/>
                <w:sz w:val="16"/>
              </w:rPr>
              <w:t xml:space="preserve">construction            land</w:t>
            </w:r>
          </w:p>
        </w:tc>
        <w:tc>
          <w:tcPr>
            <w:tcW w:w="1531" w:type="dxa"/>
            <w:tcBorders>
              <w:bottom w:val="single" w:sz="4" w:space="0" w:shadow="0" w:frame="0"/>
            </w:tcBorders>
            <w:vAlign w:val="center"/>
          </w:tcPr>
          <w:p>
            <w:pPr>
              <w:pStyle w:val="P8"/>
              <w:jc w:val="center"/>
              <w:rPr>
                <w:rFonts w:ascii="Arial" w:hAnsi="Arial"/>
                <w:i w:val="1"/>
                <w:sz w:val="16"/>
              </w:rPr>
            </w:pPr>
            <w:r>
              <w:rPr>
                <w:rFonts w:ascii="Arial" w:hAnsi="Arial"/>
                <w:i w:val="0"/>
                <w:sz w:val="16"/>
              </w:rPr>
              <w:t xml:space="preserve">price of </w:t>
            </w:r>
            <w:r>
              <w:rPr>
                <w:rFonts w:ascii="Arial" w:hAnsi="Arial"/>
                <w:i w:val="0"/>
                <w:sz w:val="16"/>
              </w:rPr>
              <w:t xml:space="preserve">          </w:t>
            </w:r>
            <w:r>
              <w:rPr>
                <w:rFonts w:ascii="Arial" w:hAnsi="Arial"/>
                <w:i w:val="0"/>
                <w:sz w:val="16"/>
              </w:rPr>
              <w:t xml:space="preserve">construction </w:t>
            </w:r>
            <w:r>
              <w:rPr>
                <w:rFonts w:ascii="Arial" w:hAnsi="Arial"/>
                <w:i w:val="0"/>
                <w:sz w:val="16"/>
              </w:rPr>
              <w:t xml:space="preserve">               </w:t>
            </w:r>
            <w:r>
              <w:rPr>
                <w:rFonts w:ascii="Arial" w:hAnsi="Arial"/>
                <w:i w:val="0"/>
                <w:sz w:val="16"/>
              </w:rPr>
              <w:t>works</w:t>
            </w:r>
          </w:p>
        </w:tc>
        <w:tc>
          <w:tcPr>
            <w:tcW w:w="1531" w:type="dxa"/>
            <w:tcBorders>
              <w:bottom w:val="single" w:sz="4" w:space="0" w:shadow="0" w:frame="0"/>
              <w:right w:val="none" w:sz="0" w:space="0" w:shadow="0" w:frame="0"/>
            </w:tcBorders>
            <w:vAlign w:val="center"/>
          </w:tcPr>
          <w:p>
            <w:pPr>
              <w:pStyle w:val="P8"/>
              <w:jc w:val="center"/>
              <w:rPr>
                <w:rFonts w:ascii="Arial" w:hAnsi="Arial"/>
                <w:i w:val="1"/>
                <w:sz w:val="16"/>
              </w:rPr>
            </w:pPr>
            <w:r>
              <w:rPr>
                <w:rFonts w:ascii="Arial" w:hAnsi="Arial"/>
                <w:i w:val="0"/>
                <w:sz w:val="16"/>
              </w:rPr>
              <w:t xml:space="preserve">other </w:t>
            </w:r>
            <w:r>
              <w:rPr>
                <w:rFonts w:ascii="Arial" w:hAnsi="Arial"/>
                <w:i w:val="0"/>
                <w:sz w:val="16"/>
              </w:rPr>
              <w:t xml:space="preserve">                </w:t>
            </w:r>
            <w:r>
              <w:rPr>
                <w:rFonts w:ascii="Arial" w:hAnsi="Arial"/>
                <w:i w:val="0"/>
                <w:sz w:val="16"/>
              </w:rPr>
              <w:t>expenditures</w:t>
            </w:r>
          </w:p>
        </w:tc>
      </w:tr>
      <w:tr>
        <w:trPr>
          <w:wAfter w:w="0" w:type="dxa"/>
          <w:trHeight w:hRule="atLeast" w:val="179"/>
        </w:trPr>
        <w:tc>
          <w:tcPr>
            <w:tcW w:w="2396" w:type="dxa"/>
            <w:tcBorders>
              <w:top w:val="single" w:sz="4" w:space="0" w:shadow="0" w:frame="0"/>
              <w:left w:val="none" w:sz="0" w:space="0" w:shadow="0" w:frame="0"/>
              <w:bottom w:val="none" w:sz="0" w:space="0" w:shadow="0" w:frame="0"/>
              <w:right w:val="single" w:sz="4" w:space="0" w:shadow="0" w:frame="0"/>
            </w:tcBorders>
          </w:tcPr>
          <w:p>
            <w:pPr>
              <w:rPr>
                <w:b w:val="0"/>
                <w:sz w:val="16"/>
              </w:rPr>
            </w:pPr>
          </w:p>
        </w:tc>
        <w:tc>
          <w:tcPr>
            <w:tcW w:w="1531" w:type="dxa"/>
            <w:tcBorders>
              <w:top w:val="single" w:sz="4" w:space="0" w:shadow="0" w:frame="0"/>
              <w:left w:val="single" w:sz="4"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Leskovac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73</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71641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1800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39628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30213</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Loznica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46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62589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10671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35725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16193</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The city of Niš</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47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85674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14224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61337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10114</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The city of Novi Sad</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98062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20250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58371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19441</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Pančevo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88859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6781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75396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6681</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Paraćin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76778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13177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53431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10170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Pirot</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70560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16026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49034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5500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Sombor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69600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3407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62684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3508</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Sremska Mitrovica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68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71614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9786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41562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20265</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Subotica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75907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4767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65960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5181</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Užice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42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77551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6200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57221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14130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Čačak – town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sz w:val="16"/>
              </w:rPr>
            </w:pPr>
            <w:r>
              <w:rPr>
                <w:sz w:val="16"/>
              </w:rPr>
              <w:t>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81883</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16541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53752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11589</w:t>
            </w:r>
          </w:p>
        </w:tc>
      </w:tr>
      <w:tr>
        <w:trPr>
          <w:wAfter w:w="0" w:type="dxa"/>
          <w:trHeight w:hRule="atLeast" w:val="226"/>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Šabac – town</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73278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15893</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39007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18378</w:t>
            </w:r>
          </w:p>
        </w:tc>
      </w:tr>
      <w:tr>
        <w:trPr>
          <w:wAfter w:w="0" w:type="dxa"/>
          <w:trHeight w:hRule="atLeast" w:val="225"/>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Other</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77551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8956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52104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sz w:val="16"/>
              </w:rPr>
            </w:pPr>
            <w:r>
              <w:rPr>
                <w:sz w:val="16"/>
              </w:rPr>
              <w:t>16491</w:t>
            </w:r>
          </w:p>
        </w:tc>
      </w:tr>
    </w:tbl>
    <w:p>
      <w:pPr>
        <w:pStyle w:val="P8"/>
        <w:spacing w:before="0" w:after="0"/>
        <w:rPr>
          <w:rFonts w:ascii="Arial" w:hAnsi="Arial"/>
          <w:i w:val="1"/>
          <w:sz w:val="14"/>
          <w:vertAlign w:val="superscript"/>
        </w:rPr>
      </w:pPr>
    </w:p>
    <w:p>
      <w:pPr>
        <w:pStyle w:val="P8"/>
        <w:spacing w:before="60" w:after="0"/>
        <w:rPr>
          <w:rFonts w:ascii="Arial" w:hAnsi="Arial"/>
          <w:i w:val="1"/>
          <w:sz w:val="14"/>
        </w:rPr>
      </w:pPr>
      <w:r>
        <w:rPr>
          <w:rFonts w:ascii="Arial" w:hAnsi="Arial"/>
          <w:i w:val="0"/>
          <w:sz w:val="14"/>
          <w:vertAlign w:val="superscript"/>
        </w:rPr>
        <w:t>1</w:t>
      </w:r>
      <w:r>
        <w:rPr>
          <w:rFonts w:ascii="Arial" w:hAnsi="Arial"/>
          <w:i w:val="0"/>
          <w:sz w:val="14"/>
        </w:rPr>
        <w:t xml:space="preserve"> Presented are only the data on sel</w:t>
      </w:r>
      <w:r>
        <w:rPr>
          <w:rFonts w:ascii="Arial" w:hAnsi="Arial"/>
          <w:i w:val="0"/>
          <w:sz w:val="14"/>
        </w:rPr>
        <w:t>ected cities where buying and selling were performed.</w:t>
      </w:r>
    </w:p>
    <w:p/>
    <w:p/>
    <w:p/>
    <w:p>
      <w:r>
        <w:t>NOTES:</w:t>
      </w:r>
    </w:p>
    <w:p>
      <w:pPr>
        <w:jc w:val="both"/>
        <w:rPr>
          <w:sz w:val="16"/>
        </w:rPr>
      </w:pPr>
    </w:p>
    <w:p>
      <w:pPr>
        <w:spacing w:before="120"/>
        <w:ind w:firstLine="397"/>
        <w:jc w:val="both"/>
      </w:pPr>
      <w:r>
        <w:t>Presented data are collected in the scope of semi-annual survey on prices of dwellings of new construction. The survey</w:t>
      </w:r>
      <w:r>
        <w:rPr>
          <w:sz w:val="28"/>
        </w:rPr>
        <w:t xml:space="preserve"> </w:t>
      </w:r>
      <w:r>
        <w:t>is filled out by legal entities and physical persons that were selling new construction dwellings in the observed period.</w:t>
      </w:r>
    </w:p>
    <w:p>
      <w:pPr>
        <w:spacing w:before="120"/>
        <w:ind w:firstLine="397"/>
        <w:jc w:val="both"/>
      </w:pPr>
      <w:r>
        <w:t xml:space="preserve">In the scope of this survey, included are new construction dwellings for which in the reported semi-annual period sales contracts were carried out between purchaser and seller in urban settlements. </w:t>
      </w:r>
    </w:p>
    <w:p>
      <w:pPr>
        <w:spacing w:before="120"/>
        <w:ind w:firstLine="397"/>
        <w:jc w:val="both"/>
      </w:pPr>
      <w:r>
        <w:t xml:space="preserve">Average price for Belgrade includes urban parts of municipalities Vozdovac, Vracar, Zvezdara, Zemun, New Belgrade, Palilula, Rakovica, Savski venac, Stari grad and Cukarica. </w:t>
      </w:r>
    </w:p>
    <w:p>
      <w:pPr>
        <w:spacing w:before="120"/>
        <w:ind w:firstLine="397"/>
        <w:jc w:val="both"/>
      </w:pPr>
      <w:r>
        <w:t xml:space="preserve">Total price of dwellings includes the price of construction works, the price of construction land and other expenditures.  </w:t>
      </w:r>
    </w:p>
    <w:p>
      <w:pPr>
        <w:spacing w:before="120"/>
        <w:ind w:firstLine="397"/>
        <w:jc w:val="both"/>
      </w:pPr>
      <w:r>
        <w:t xml:space="preserve">Due to correct approach in data use, user’s attention is directed to the fact that prices that are published (prices by one square meter) are average, i.e. they are the result of different characteristics of construction and difference in month in which sales contract was signed on one territory (the city, Republic and AP). </w:t>
      </w:r>
    </w:p>
    <w:p>
      <w:pPr>
        <w:spacing w:before="120"/>
        <w:ind w:firstLine="397"/>
        <w:jc w:val="both"/>
      </w:pPr>
      <w:r>
        <w:t xml:space="preserve">All prices present nominal expression of value from sales contracts (without value adjustment) and are presented by one square meter of useful (residential) area. The EUR exchange rate is determined by average height of official (mean) rate of RSD in the observed period. As an average of the period (semi-annual and annual period) arithmetic mean of official (mean) rates is taken, published by the National Bank of Serbia.      </w:t>
      </w:r>
    </w:p>
    <w:p>
      <w:pPr>
        <w:spacing w:before="120"/>
        <w:ind w:firstLine="397"/>
        <w:jc w:val="both"/>
      </w:pPr>
      <w:r>
        <w:t xml:space="preserve">Detailed methodological explanations can be found in the documentary material of the Statistical Office of the Republic of Serbia. </w:t>
      </w:r>
    </w:p>
    <w:p>
      <w:pPr>
        <w:spacing w:before="120"/>
        <w:ind w:firstLine="397"/>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ind w:firstLine="720"/>
        <w:jc w:val="both"/>
        <w:rPr>
          <w:b w:val="0"/>
          <w:i w:val="1"/>
          <w:sz w:val="18"/>
        </w:rPr>
      </w:pPr>
      <w:r>
        <w:rPr>
          <w:b w:val="1"/>
          <w:i w:val="1"/>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pPr>
            <w:r>
              <w:rPr>
                <w:i w:val="1"/>
                <w:sz w:val="18"/>
              </w:rPr>
              <w:t xml:space="preserve">Circulation: 20 ● </w:t>
            </w:r>
            <w:r>
              <w:t xml:space="preserve"> </w:t>
            </w:r>
            <w:r>
              <w:rPr>
                <w:i w:val="1"/>
                <w:sz w:val="18"/>
              </w:rPr>
              <w:t>Semi-annually</w:t>
            </w:r>
          </w:p>
          <w:p>
            <w:pPr>
              <w:framePr w:w="0" w:h="0" w:hRule="auto" w:vSpace="0" w:hSpace="0" w:wrap="auto" w:vAnchor="margin" w:hAnchor="text" w:x="0" w:xAlign="left" w:y="0" w:yAlign="inline"/>
              <w:jc w:val="center"/>
              <w:rPr>
                <w:i w:val="1"/>
              </w:rPr>
            </w:pP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066</w:t>
          </w:r>
          <w:r>
            <w:rPr>
              <w:b w:val="1"/>
              <w:sz w:val="16"/>
            </w:rPr>
            <w:t xml:space="preserve"> </w:t>
          </w:r>
          <w:r>
            <w:rPr>
              <w:b w:val="1"/>
              <w:sz w:val="16"/>
            </w:rPr>
            <w:t xml:space="preserve">GR20 </w:t>
          </w:r>
          <w:r>
            <w:rPr>
              <w:b w:val="1"/>
              <w:sz w:val="16"/>
            </w:rPr>
            <w:t>150313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1445822">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65D5BD81">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55B0EA0E">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F45FF7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BB6406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45A9B80">
      <w:start w:val="1"/>
      <w:numFmt w:val="bullet"/>
      <w:suff w:val="tab"/>
      <w:lvlText w:val=""/>
      <w:lvlJc w:val="left"/>
      <w:pPr>
        <w:ind w:hanging="360" w:left="1117"/>
        <w:tabs>
          <w:tab w:val="left" w:pos="1117" w:leader="none"/>
        </w:tabs>
      </w:pPr>
      <w:rPr>
        <w:rFonts w:ascii="Symbol" w:hAnsi="Symbol"/>
        <w:sz w:val="16"/>
      </w:rPr>
    </w:lvl>
    <w:lvl w:ilvl="1" w:tplc="61EA0806">
      <w:start w:val="1"/>
      <w:numFmt w:val="bullet"/>
      <w:suff w:val="tab"/>
      <w:lvlText w:val="o"/>
      <w:lvlJc w:val="left"/>
      <w:pPr>
        <w:ind w:hanging="360" w:left="1837"/>
        <w:tabs>
          <w:tab w:val="left" w:pos="1837" w:leader="none"/>
        </w:tabs>
      </w:pPr>
      <w:rPr>
        <w:rFonts w:ascii="Courier New" w:hAnsi="Courier New"/>
      </w:rPr>
    </w:lvl>
    <w:lvl w:ilvl="2" w:tplc="16791181">
      <w:start w:val="1"/>
      <w:numFmt w:val="bullet"/>
      <w:suff w:val="tab"/>
      <w:lvlText w:val=""/>
      <w:lvlJc w:val="left"/>
      <w:pPr>
        <w:ind w:hanging="360" w:left="2557"/>
        <w:tabs>
          <w:tab w:val="left" w:pos="2557" w:leader="none"/>
        </w:tabs>
      </w:pPr>
      <w:rPr>
        <w:rFonts w:ascii="Wingdings" w:hAnsi="Wingdings"/>
      </w:rPr>
    </w:lvl>
    <w:lvl w:ilvl="3" w:tplc="5BC98090">
      <w:start w:val="1"/>
      <w:numFmt w:val="bullet"/>
      <w:suff w:val="tab"/>
      <w:lvlText w:val=""/>
      <w:lvlJc w:val="left"/>
      <w:pPr>
        <w:ind w:hanging="360" w:left="3277"/>
        <w:tabs>
          <w:tab w:val="left" w:pos="3277" w:leader="none"/>
        </w:tabs>
      </w:pPr>
      <w:rPr>
        <w:rFonts w:ascii="Symbol" w:hAnsi="Symbol"/>
      </w:rPr>
    </w:lvl>
    <w:lvl w:ilvl="4" w:tplc="6656024C">
      <w:start w:val="1"/>
      <w:numFmt w:val="bullet"/>
      <w:suff w:val="tab"/>
      <w:lvlText w:val="o"/>
      <w:lvlJc w:val="left"/>
      <w:pPr>
        <w:ind w:hanging="360" w:left="3997"/>
        <w:tabs>
          <w:tab w:val="left" w:pos="3997" w:leader="none"/>
        </w:tabs>
      </w:pPr>
      <w:rPr>
        <w:rFonts w:ascii="Courier New" w:hAnsi="Courier New"/>
      </w:rPr>
    </w:lvl>
    <w:lvl w:ilvl="5" w:tplc="22D91680">
      <w:start w:val="1"/>
      <w:numFmt w:val="bullet"/>
      <w:suff w:val="tab"/>
      <w:lvlText w:val=""/>
      <w:lvlJc w:val="left"/>
      <w:pPr>
        <w:ind w:hanging="360" w:left="4717"/>
        <w:tabs>
          <w:tab w:val="left" w:pos="4717" w:leader="none"/>
        </w:tabs>
      </w:pPr>
      <w:rPr>
        <w:rFonts w:ascii="Wingdings" w:hAnsi="Wingdings"/>
      </w:rPr>
    </w:lvl>
    <w:lvl w:ilvl="6" w:tplc="3C1BC21D">
      <w:start w:val="1"/>
      <w:numFmt w:val="bullet"/>
      <w:suff w:val="tab"/>
      <w:lvlText w:val=""/>
      <w:lvlJc w:val="left"/>
      <w:pPr>
        <w:ind w:hanging="360" w:left="5437"/>
        <w:tabs>
          <w:tab w:val="left" w:pos="5437" w:leader="none"/>
        </w:tabs>
      </w:pPr>
      <w:rPr>
        <w:rFonts w:ascii="Symbol" w:hAnsi="Symbol"/>
      </w:rPr>
    </w:lvl>
    <w:lvl w:ilvl="7" w:tplc="35F16301">
      <w:start w:val="1"/>
      <w:numFmt w:val="bullet"/>
      <w:suff w:val="tab"/>
      <w:lvlText w:val="o"/>
      <w:lvlJc w:val="left"/>
      <w:pPr>
        <w:ind w:hanging="360" w:left="6157"/>
        <w:tabs>
          <w:tab w:val="left" w:pos="6157" w:leader="none"/>
        </w:tabs>
      </w:pPr>
      <w:rPr>
        <w:rFonts w:ascii="Courier New" w:hAnsi="Courier New"/>
      </w:rPr>
    </w:lvl>
    <w:lvl w:ilvl="8" w:tplc="0C697EDF">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12D5AF30">
      <w:start w:val="1"/>
      <w:numFmt w:val="bullet"/>
      <w:suff w:val="tab"/>
      <w:lvlText w:val=""/>
      <w:lvlJc w:val="left"/>
      <w:pPr>
        <w:ind w:hanging="283" w:left="680"/>
        <w:tabs>
          <w:tab w:val="left" w:pos="323" w:leader="none"/>
        </w:tabs>
      </w:pPr>
      <w:rPr>
        <w:rFonts w:ascii="Symbol" w:hAnsi="Symbol"/>
        <w:color w:val="auto"/>
        <w:sz w:val="20"/>
      </w:rPr>
    </w:lvl>
    <w:lvl w:ilvl="1" w:tplc="70E668A6">
      <w:start w:val="1"/>
      <w:numFmt w:val="bullet"/>
      <w:suff w:val="tab"/>
      <w:lvlText w:val=""/>
      <w:lvlJc w:val="left"/>
      <w:pPr>
        <w:ind w:hanging="284" w:left="851"/>
        <w:tabs>
          <w:tab w:val="left" w:pos="851" w:leader="none"/>
        </w:tabs>
      </w:pPr>
      <w:rPr>
        <w:rFonts w:ascii="Symbol" w:hAnsi="Symbol"/>
        <w:color w:val="auto"/>
      </w:rPr>
    </w:lvl>
    <w:lvl w:ilvl="2" w:tplc="322BCCD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24EC2F6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26263B71">
      <w:start w:val="1"/>
      <w:numFmt w:val="bullet"/>
      <w:suff w:val="tab"/>
      <w:lvlText w:val=""/>
      <w:lvlJc w:val="left"/>
      <w:pPr>
        <w:ind w:hanging="283" w:left="680"/>
        <w:tabs>
          <w:tab w:val="left" w:pos="323" w:leader="none"/>
        </w:tabs>
      </w:pPr>
      <w:rPr>
        <w:rFonts w:ascii="Symbol" w:hAnsi="Symbol"/>
        <w:color w:val="auto"/>
        <w:sz w:val="20"/>
      </w:rPr>
    </w:lvl>
    <w:lvl w:ilvl="1" w:tplc="6539A18D">
      <w:start w:val="1"/>
      <w:numFmt w:val="bullet"/>
      <w:suff w:val="tab"/>
      <w:lvlText w:val=""/>
      <w:lvlJc w:val="left"/>
      <w:pPr>
        <w:ind w:hanging="284" w:left="851"/>
        <w:tabs>
          <w:tab w:val="left" w:pos="851" w:leader="none"/>
        </w:tabs>
      </w:pPr>
      <w:rPr>
        <w:rFonts w:ascii="Symbol" w:hAnsi="Symbol"/>
        <w:color w:val="auto"/>
      </w:rPr>
    </w:lvl>
    <w:lvl w:ilvl="2" w:tplc="17E55EC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22FC1899">
      <w:start w:val="1"/>
      <w:numFmt w:val="bullet"/>
      <w:suff w:val="tab"/>
      <w:lvlText w:val=""/>
      <w:lvlJc w:val="left"/>
      <w:pPr>
        <w:ind w:hanging="283" w:left="680"/>
        <w:tabs>
          <w:tab w:val="left" w:pos="323" w:leader="none"/>
        </w:tabs>
      </w:pPr>
      <w:rPr>
        <w:rFonts w:ascii="Symbol" w:hAnsi="Symbol"/>
        <w:color w:val="auto"/>
        <w:sz w:val="20"/>
      </w:rPr>
    </w:lvl>
    <w:lvl w:ilvl="1" w:tplc="69903F84">
      <w:start w:val="1"/>
      <w:numFmt w:val="bullet"/>
      <w:suff w:val="tab"/>
      <w:lvlText w:val=""/>
      <w:lvlJc w:val="left"/>
      <w:pPr>
        <w:ind w:hanging="284" w:left="851"/>
        <w:tabs>
          <w:tab w:val="left" w:pos="851" w:leader="none"/>
        </w:tabs>
      </w:pPr>
      <w:rPr>
        <w:rFonts w:ascii="Symbol" w:hAnsi="Symbol"/>
        <w:color w:val="auto"/>
      </w:rPr>
    </w:lvl>
    <w:lvl w:ilvl="2" w:tplc="6A3445B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27D1805F">
      <w:start w:val="1"/>
      <w:numFmt w:val="bullet"/>
      <w:suff w:val="tab"/>
      <w:lvlText w:val=""/>
      <w:lvlJc w:val="left"/>
      <w:pPr>
        <w:ind w:hanging="283" w:left="680"/>
        <w:tabs>
          <w:tab w:val="left" w:pos="323" w:leader="none"/>
        </w:tabs>
      </w:pPr>
      <w:rPr>
        <w:rFonts w:ascii="Symbol" w:hAnsi="Symbol"/>
        <w:color w:val="auto"/>
        <w:sz w:val="20"/>
      </w:rPr>
    </w:lvl>
    <w:lvl w:ilvl="1" w:tplc="4ED650B0">
      <w:start w:val="1"/>
      <w:numFmt w:val="bullet"/>
      <w:suff w:val="tab"/>
      <w:lvlText w:val=""/>
      <w:lvlJc w:val="left"/>
      <w:pPr>
        <w:ind w:hanging="284" w:left="851"/>
        <w:tabs>
          <w:tab w:val="left" w:pos="851" w:leader="none"/>
        </w:tabs>
      </w:pPr>
      <w:rPr>
        <w:rFonts w:ascii="Symbol" w:hAnsi="Symbol"/>
        <w:color w:val="auto"/>
      </w:rPr>
    </w:lvl>
    <w:lvl w:ilvl="2" w:tplc="6AF2F69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43EC66B6">
      <w:start w:val="1"/>
      <w:numFmt w:val="bullet"/>
      <w:suff w:val="tab"/>
      <w:lvlText w:val=""/>
      <w:lvlJc w:val="left"/>
      <w:pPr>
        <w:ind w:hanging="283" w:left="680"/>
        <w:tabs>
          <w:tab w:val="left" w:pos="323" w:leader="none"/>
        </w:tabs>
      </w:pPr>
      <w:rPr>
        <w:rFonts w:ascii="Symbol" w:hAnsi="Symbol"/>
        <w:color w:val="auto"/>
        <w:sz w:val="20"/>
      </w:rPr>
    </w:lvl>
    <w:lvl w:ilvl="1" w:tplc="540C4D56">
      <w:start w:val="1"/>
      <w:numFmt w:val="bullet"/>
      <w:suff w:val="tab"/>
      <w:lvlText w:val=""/>
      <w:lvlJc w:val="left"/>
      <w:pPr>
        <w:ind w:hanging="284" w:left="851"/>
        <w:tabs>
          <w:tab w:val="left" w:pos="851" w:leader="none"/>
        </w:tabs>
      </w:pPr>
      <w:rPr>
        <w:rFonts w:ascii="Symbol" w:hAnsi="Symbol"/>
        <w:color w:val="auto"/>
      </w:rPr>
    </w:lvl>
    <w:lvl w:ilvl="2" w:tplc="26D44E8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368487B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2013-03-18T09:21:00Z</dcterms:created>
  <cp:lastModifiedBy>Nikola Kapetanovic</cp:lastModifiedBy>
  <cp:lastPrinted>2013-03-19T07:31:00Z</cp:lastPrinted>
  <dcterms:modified xsi:type="dcterms:W3CDTF">2020-01-10T11:42:30Z</dcterms:modified>
  <cp:revision>5</cp:revision>
  <dc:title>                  </dc:title>
</cp:coreProperties>
</file>