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73C80919" Type="http://schemas.openxmlformats.org/officeDocument/2006/relationships/officeDocument" Target="/word/document.xml" /><Relationship Id="coreR73C8091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exact" w:val="113"/>
        </w:trPr>
        <w:tc>
          <w:tcPr>
            <w:tcW w:w="1743" w:type="dxa"/>
            <w:vMerge w:val="restart"/>
            <w:tcBorders>
              <w:top w:val="single" w:sz="18" w:space="0" w:shadow="0" w:frame="0" w:color="808080"/>
              <w:left w:val="none" w:sz="0" w:space="0" w:shadow="0" w:frame="0"/>
              <w:bottom w:val="none" w:sz="0" w:space="0" w:shadow="0" w:frame="0"/>
            </w:tcBorders>
            <w:vAlign w:val="center"/>
          </w:tcPr>
          <w:p>
            <w:pPr>
              <w:rPr>
                <w:rFonts w:ascii="Arial" w:hAnsi="Arial"/>
                <w:sz w:val="20"/>
              </w:rPr>
            </w:pP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5231" w:type="dxa"/>
            <w:vMerge w:val="restart"/>
            <w:tcBorders>
              <w:top w:val="single" w:sz="18" w:space="0" w:shadow="0" w:frame="0" w:color="808080"/>
              <w:left w:val="none" w:sz="0" w:space="0" w:shadow="0" w:frame="0"/>
              <w:bottom w:val="none" w:sz="0" w:space="0" w:shadow="0" w:frame="0"/>
            </w:tcBorders>
            <w:vAlign w:val="center"/>
          </w:tcPr>
          <w:p>
            <w:pPr>
              <w:rPr>
                <w:rFonts w:ascii="Arial" w:hAnsi="Arial"/>
                <w:sz w:val="20"/>
              </w:rPr>
            </w:pPr>
            <w:r>
              <w:rPr>
                <w:rFonts w:ascii="Arial" w:hAnsi="Arial"/>
                <w:sz w:val="20"/>
              </w:rPr>
              <w:t>Statistical Office of the Republic of Serbia</w:t>
            </w:r>
          </w:p>
        </w:tc>
        <w:tc>
          <w:tcPr>
            <w:tcW w:w="2880" w:type="dxa"/>
            <w:tcBorders>
              <w:top w:val="single" w:sz="18" w:space="0" w:shadow="0" w:frame="0" w:color="808080"/>
              <w:bottom w:val="none" w:sz="0" w:space="0" w:shadow="0" w:frame="0"/>
              <w:right w:val="none" w:sz="0" w:space="0" w:shadow="0" w:frame="0"/>
            </w:tcBorders>
            <w:vAlign w:val="center"/>
          </w:tcPr>
          <w:p>
            <w:pPr>
              <w:rPr>
                <w:b w:val="1"/>
              </w:rPr>
            </w:pPr>
          </w:p>
        </w:tc>
      </w:tr>
      <w:tr>
        <w:trPr>
          <w:wAfter w:w="0" w:type="dxa"/>
          <w:trHeight w:hRule="atLeast" w:val="494"/>
        </w:trPr>
        <w:tc>
          <w:tcPr>
            <w:tcW w:w="1743" w:type="dxa"/>
            <w:vMerge w:val="continue"/>
            <w:tcBorders>
              <w:top w:val="none" w:sz="0" w:space="0" w:shadow="0" w:frame="0"/>
              <w:left w:val="none" w:sz="0" w:space="0" w:shadow="0" w:frame="0"/>
              <w:bottom w:val="none" w:sz="0" w:space="0" w:shadow="0" w:frame="0"/>
            </w:tcBorders>
          </w:tcPr>
          <w:p>
            <w:pPr>
              <w:pStyle w:val="P1"/>
              <w:ind w:left="144"/>
              <w:rPr>
                <w:b w:val="1"/>
              </w:rPr>
            </w:pPr>
          </w:p>
        </w:tc>
        <w:tc>
          <w:tcPr>
            <w:tcW w:w="5231" w:type="dxa"/>
            <w:vMerge w:val="continue"/>
            <w:tcBorders>
              <w:top w:val="none" w:sz="0" w:space="0" w:shadow="0" w:frame="0"/>
              <w:left w:val="none" w:sz="0" w:space="0" w:shadow="0" w:frame="0"/>
              <w:bottom w:val="none" w:sz="0" w:space="0" w:shadow="0" w:frame="0"/>
            </w:tcBorders>
            <w:vAlign w:val="center"/>
          </w:tcPr>
          <w:p>
            <w:pPr>
              <w:pStyle w:val="P1"/>
              <w:ind w:left="144"/>
              <w:rPr>
                <w:b w:val="1"/>
              </w:rPr>
            </w:pPr>
          </w:p>
        </w:tc>
        <w:tc>
          <w:tcPr>
            <w:tcW w:w="2880" w:type="dxa"/>
            <w:tcBorders>
              <w:top w:val="none" w:sz="0" w:space="0" w:shadow="0" w:frame="0"/>
              <w:bottom w:val="none" w:sz="0" w:space="0" w:shadow="0" w:frame="0"/>
              <w:right w:val="none" w:sz="0" w:space="0" w:shadow="0" w:frame="0"/>
            </w:tcBorders>
            <w:vAlign w:val="center"/>
          </w:tcPr>
          <w:p>
            <w:pPr>
              <w:pStyle w:val="P6"/>
              <w:jc w:val="right"/>
              <w:rPr>
                <w:b w:val="1"/>
              </w:rPr>
            </w:pPr>
            <w:r>
              <w:rPr>
                <w:b w:val="0"/>
              </w:rPr>
              <w:t>ISSN 0353-9555</w:t>
            </w:r>
          </w:p>
        </w:tc>
      </w:tr>
      <w:tr>
        <w:trPr>
          <w:wAfter w:w="0" w:type="dxa"/>
          <w:trHeight w:hRule="atLeast" w:val="855"/>
        </w:trPr>
        <w:tc>
          <w:tcPr>
            <w:tcW w:w="6974" w:type="dxa"/>
            <w:gridSpan w:val="2"/>
            <w:tcBorders>
              <w:top w:val="none" w:sz="0" w:space="0" w:shadow="0" w:frame="0"/>
              <w:left w:val="none" w:sz="0" w:space="0" w:shadow="0" w:frame="0"/>
              <w:right w:val="none" w:sz="0" w:space="0" w:shadow="0" w:frame="0"/>
            </w:tcBorders>
            <w:vAlign w:val="center"/>
          </w:tcPr>
          <w:p>
            <w:pPr>
              <w:rPr>
                <w:color w:val="808080"/>
                <w:sz w:val="20"/>
              </w:rPr>
            </w:pPr>
            <w:r>
              <w:rPr>
                <w:rFonts w:ascii="Arial" w:hAnsi="Arial"/>
                <w:b w:val="1"/>
                <w:color w:val="808080"/>
                <w:sz w:val="48"/>
              </w:rPr>
              <w:t>STATISTICAL RELEASE</w:t>
            </w:r>
          </w:p>
        </w:tc>
        <w:tc>
          <w:tcPr>
            <w:tcW w:w="2880" w:type="dxa"/>
            <w:vMerge w:val="restart"/>
            <w:tcBorders>
              <w:top w:val="none" w:sz="0" w:space="0" w:shadow="0" w:frame="0"/>
              <w:left w:val="none" w:sz="0" w:space="0" w:shadow="0" w:frame="0"/>
              <w:right w:val="none" w:sz="0" w:space="0" w:shadow="0" w:frame="0"/>
            </w:tcBorders>
            <w:vAlign w:val="center"/>
          </w:tcPr>
          <w:p>
            <w:pPr>
              <w:jc w:val="right"/>
              <w:rPr>
                <w:b w:val="1"/>
                <w:color w:val="808080"/>
                <w:sz w:val="12"/>
              </w:rPr>
            </w:pPr>
            <w:r>
              <w:rPr>
                <w:rFonts w:ascii="Arial" w:hAnsi="Arial"/>
                <w:b w:val="1"/>
                <w:color w:val="808080"/>
                <w:sz w:val="48"/>
              </w:rPr>
              <w:t>SV22</w:t>
            </w:r>
          </w:p>
        </w:tc>
      </w:tr>
      <w:tr>
        <w:trPr>
          <w:wAfter w:w="0" w:type="dxa"/>
          <w:trHeight w:hRule="exact" w:val="285"/>
        </w:trPr>
        <w:tc>
          <w:tcPr>
            <w:tcW w:w="6974" w:type="dxa"/>
            <w:gridSpan w:val="2"/>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20"/>
              </w:rPr>
            </w:pPr>
            <w:r>
              <w:rPr>
                <w:rFonts w:ascii="Arial" w:hAnsi="Arial"/>
                <w:sz w:val="20"/>
              </w:rPr>
              <w:t>Number 054 • Year LXIII, 08/03/2013</w:t>
            </w:r>
          </w:p>
        </w:tc>
        <w:tc>
          <w:tcPr>
            <w:tcW w:w="2880" w:type="dxa"/>
            <w:vMerge w:val="continue"/>
            <w:tcBorders>
              <w:left w:val="none" w:sz="0" w:space="0" w:shadow="0" w:frame="0"/>
              <w:bottom w:val="none" w:sz="0" w:space="0" w:shadow="0" w:frame="0"/>
              <w:right w:val="none" w:sz="0" w:space="0" w:shadow="0" w:frame="0"/>
            </w:tcBorders>
            <w:vAlign w:val="center"/>
          </w:tcPr>
          <w:p>
            <w:pPr>
              <w:jc w:val="right"/>
              <w:rPr>
                <w:rFonts w:ascii="Arial" w:hAnsi="Arial"/>
                <w:b w:val="1"/>
                <w:sz w:val="48"/>
              </w:rPr>
            </w:pPr>
          </w:p>
        </w:tc>
      </w:tr>
      <w:tr>
        <w:trPr>
          <w:wAfter w:w="0" w:type="dxa"/>
          <w:trHeight w:hRule="exact" w:val="305"/>
        </w:trPr>
        <w:tc>
          <w:tcPr>
            <w:tcW w:w="6974" w:type="dxa"/>
            <w:gridSpan w:val="2"/>
            <w:vMerge w:val="restart"/>
            <w:tcBorders>
              <w:top w:val="none" w:sz="0" w:space="0" w:shadow="0" w:frame="0"/>
              <w:left w:val="none" w:sz="0" w:space="0" w:shadow="0" w:frame="0"/>
              <w:bottom w:val="single" w:sz="18" w:space="0" w:shadow="0" w:frame="0" w:color="808080"/>
              <w:right w:val="none" w:sz="0" w:space="0" w:shadow="0" w:frame="0"/>
            </w:tcBorders>
            <w:vAlign w:val="center"/>
          </w:tcPr>
          <w:p>
            <w:pPr>
              <w:rPr>
                <w:b w:val="1"/>
              </w:rPr>
            </w:pPr>
            <w:r>
              <w:rPr>
                <w:rFonts w:ascii="Arial" w:hAnsi="Arial"/>
                <w:b w:val="1"/>
              </w:rPr>
              <w:t>Statistics of Transport and Communications</w:t>
            </w:r>
          </w:p>
        </w:tc>
        <w:tc>
          <w:tcPr>
            <w:tcW w:w="2880" w:type="dxa"/>
            <w:tcBorders>
              <w:top w:val="none" w:sz="0" w:space="0" w:shadow="0" w:frame="0"/>
              <w:left w:val="none" w:sz="0" w:space="0" w:shadow="0" w:frame="0"/>
              <w:bottom w:val="none" w:sz="0" w:space="0" w:shadow="0" w:frame="0"/>
              <w:right w:val="none" w:sz="0" w:space="0" w:shadow="0" w:frame="0"/>
            </w:tcBorders>
            <w:vAlign w:val="center"/>
          </w:tcPr>
          <w:p>
            <w:pPr>
              <w:pStyle w:val="P7"/>
              <w:jc w:val="right"/>
              <w:rPr>
                <w:b w:val="1"/>
              </w:rPr>
            </w:pPr>
            <w:r>
              <w:rPr>
                <w:b w:val="0"/>
                <w:sz w:val="20"/>
              </w:rPr>
              <w:t>SERB</w:t>
            </w:r>
            <w:r>
              <w:rPr>
                <w:b w:val="0"/>
                <w:sz w:val="20"/>
              </w:rPr>
              <w:t>054</w:t>
            </w:r>
            <w:r>
              <w:rPr>
                <w:b w:val="0"/>
                <w:sz w:val="20"/>
              </w:rPr>
              <w:t xml:space="preserve"> </w:t>
            </w:r>
            <w:r>
              <w:rPr>
                <w:b w:val="0"/>
                <w:sz w:val="20"/>
              </w:rPr>
              <w:t xml:space="preserve">SV22 </w:t>
            </w:r>
            <w:r>
              <w:rPr>
                <w:b w:val="0"/>
                <w:sz w:val="20"/>
              </w:rPr>
              <w:t>08</w:t>
            </w:r>
            <w:r>
              <w:rPr>
                <w:b w:val="0"/>
                <w:sz w:val="20"/>
              </w:rPr>
              <w:t>0</w:t>
            </w:r>
            <w:r>
              <w:rPr>
                <w:b w:val="0"/>
                <w:sz w:val="20"/>
              </w:rPr>
              <w:t>3</w:t>
            </w:r>
            <w:r>
              <w:rPr>
                <w:b w:val="0"/>
                <w:sz w:val="20"/>
              </w:rPr>
              <w:t>1</w:t>
            </w:r>
            <w:r>
              <w:rPr>
                <w:b w:val="0"/>
                <w:sz w:val="20"/>
              </w:rPr>
              <w:t>3</w:t>
            </w:r>
          </w:p>
        </w:tc>
      </w:tr>
      <w:tr>
        <w:trPr>
          <w:wAfter w:w="0" w:type="dxa"/>
          <w:trHeight w:hRule="exact" w:val="113"/>
        </w:trPr>
        <w:tc>
          <w:tcPr>
            <w:tcW w:w="6974" w:type="dxa"/>
            <w:gridSpan w:val="2"/>
            <w:vMerge w:val="continue"/>
            <w:tcBorders>
              <w:top w:val="none" w:sz="0" w:space="0" w:shadow="0" w:frame="0"/>
              <w:left w:val="none" w:sz="0" w:space="0" w:shadow="0" w:frame="0"/>
              <w:bottom w:val="single" w:sz="18" w:space="0" w:shadow="0" w:frame="0" w:color="808080"/>
            </w:tcBorders>
          </w:tcPr>
          <w:p>
            <w:pPr>
              <w:pStyle w:val="P1"/>
              <w:ind w:left="144"/>
              <w:rPr>
                <w:b w:val="1"/>
              </w:rPr>
            </w:pPr>
          </w:p>
        </w:tc>
        <w:tc>
          <w:tcPr>
            <w:tcW w:w="2880" w:type="dxa"/>
            <w:tcBorders>
              <w:top w:val="none" w:sz="0" w:space="0" w:shadow="0" w:frame="0"/>
              <w:bottom w:val="single" w:sz="18" w:space="0" w:shadow="0" w:frame="0" w:color="808080"/>
              <w:right w:val="none" w:sz="0" w:space="0" w:shadow="0" w:frame="0"/>
            </w:tcBorders>
            <w:vAlign w:val="center"/>
          </w:tcPr>
          <w:p>
            <w:pPr>
              <w:pStyle w:val="P1"/>
              <w:jc w:val="center"/>
              <w:rPr>
                <w:b w:val="1"/>
              </w:rPr>
            </w:pPr>
          </w:p>
        </w:tc>
      </w:tr>
    </w:tbl>
    <w:p/>
    <w:p>
      <w:pPr>
        <w:jc w:val="center"/>
        <w:rPr>
          <w:rFonts w:ascii="Arial" w:hAnsi="Arial"/>
          <w:b w:val="1"/>
        </w:rPr>
      </w:pPr>
    </w:p>
    <w:p>
      <w:pPr>
        <w:pStyle w:val="P8"/>
        <w:rPr>
          <w:sz w:val="24"/>
        </w:rPr>
      </w:pPr>
      <w:r>
        <w:rPr>
          <w:sz w:val="24"/>
        </w:rPr>
        <w:t xml:space="preserve">First time registered road motor vehicles and trailers and </w:t>
      </w:r>
    </w:p>
    <w:p>
      <w:pPr>
        <w:pStyle w:val="P6"/>
        <w:rPr>
          <w:sz w:val="24"/>
        </w:rPr>
      </w:pPr>
      <w:r>
        <w:rPr>
          <w:sz w:val="24"/>
        </w:rPr>
        <w:t>injury road accidents in the Republic of Serbia</w:t>
      </w:r>
    </w:p>
    <w:p>
      <w:pPr>
        <w:pStyle w:val="P6"/>
        <w:spacing w:before="240" w:after="240"/>
        <w:rPr>
          <w:sz w:val="22"/>
        </w:rPr>
      </w:pPr>
      <w:r>
        <w:rPr>
          <w:sz w:val="22"/>
        </w:rPr>
        <w:t xml:space="preserve">- IV quarter 2012 -  </w:t>
      </w:r>
    </w:p>
    <w:p>
      <w:pPr>
        <w:pStyle w:val="P13"/>
        <w:spacing w:before="120"/>
        <w:ind w:firstLine="397" w:left="0"/>
        <w:rPr>
          <w:sz w:val="20"/>
        </w:rPr>
      </w:pPr>
      <w:r>
        <w:rPr>
          <w:sz w:val="20"/>
        </w:rPr>
        <w:t>During 4</w:t>
      </w:r>
      <w:r>
        <w:rPr>
          <w:sz w:val="20"/>
          <w:vertAlign w:val="superscript"/>
        </w:rPr>
        <w:t>th</w:t>
      </w:r>
      <w:r>
        <w:rPr>
          <w:sz w:val="20"/>
        </w:rPr>
        <w:t xml:space="preserve"> quarter of 2012, in the Republic of Serbia, it can be noted that number of first time registered buses, lorries (trucks) and trailers decreased, while number of other road motor vehicles increased. Observing the database, it can be concluded that 67.6% of trailers was of the capacity below 1000 kg and it corresponds, by capacity, to trailers intended for passengers’ vehicles. </w:t>
      </w:r>
      <w:r>
        <w:rPr>
          <w:sz w:val="18"/>
        </w:rPr>
        <w:t xml:space="preserve">The greatest number of road motor vehicles was produced by the following manufacturers: Zastava (domestic trademark) and Fiat, Renault, Opel, and VW (foreign trademarks). </w:t>
      </w:r>
    </w:p>
    <w:p>
      <w:pPr>
        <w:pStyle w:val="P13"/>
        <w:spacing w:before="120" w:after="120"/>
        <w:ind w:firstLine="397" w:left="0"/>
        <w:rPr>
          <w:sz w:val="18"/>
        </w:rPr>
      </w:pPr>
      <w:r>
        <w:rPr>
          <w:sz w:val="18"/>
        </w:rPr>
        <w:t>It is to be noted that, due to methodology changes regarding the observed vehicles by the Ministry of the Interior, the data are to be taken with caution since overflowing of vehicles from one group to the other is possible.</w:t>
      </w:r>
    </w:p>
    <w:p>
      <w:pPr>
        <w:pStyle w:val="P13"/>
        <w:spacing w:before="120" w:after="120"/>
        <w:ind w:firstLine="397" w:left="0"/>
        <w:rPr>
          <w:sz w:val="18"/>
        </w:rPr>
      </w:pPr>
      <w:r>
        <w:rPr>
          <w:sz w:val="18"/>
        </w:rPr>
        <w:t xml:space="preserve">Total number of injury road accidents in the </w:t>
      </w:r>
      <w:r>
        <w:rPr>
          <w:sz w:val="20"/>
        </w:rPr>
        <w:t>fourth</w:t>
      </w:r>
      <w:r>
        <w:rPr>
          <w:sz w:val="18"/>
        </w:rPr>
        <w:t xml:space="preserve"> quarter of 2012 was decreased by 0.9%, when compared to the same period 2011. The greatest increase of injury accidents with injured persons, by 1.5%, was recorded </w:t>
      </w:r>
      <w:r>
        <w:rPr>
          <w:sz w:val="16"/>
        </w:rPr>
        <w:t>within</w:t>
      </w:r>
      <w:r>
        <w:rPr>
          <w:sz w:val="18"/>
        </w:rPr>
        <w:t xml:space="preserve"> built-up areas.</w:t>
      </w:r>
    </w:p>
    <w:p>
      <w:pPr>
        <w:pStyle w:val="P13"/>
        <w:spacing w:before="120" w:after="120"/>
        <w:ind w:firstLine="397" w:left="0"/>
        <w:rPr>
          <w:sz w:val="18"/>
        </w:rPr>
      </w:pPr>
      <w:r>
        <w:rPr>
          <w:sz w:val="18"/>
        </w:rPr>
        <w:t xml:space="preserve">Number of casualties in the </w:t>
      </w:r>
      <w:r>
        <w:rPr>
          <w:sz w:val="20"/>
        </w:rPr>
        <w:t xml:space="preserve">fourth </w:t>
      </w:r>
      <w:r>
        <w:rPr>
          <w:sz w:val="18"/>
        </w:rPr>
        <w:t xml:space="preserve">quarter of 2012 was decreased by 2.9% respective to the same period 2011, while number of killed persons outside built-up areas decreased by 34.9%. </w:t>
      </w:r>
    </w:p>
    <w:p>
      <w:pPr>
        <w:pStyle w:val="P13"/>
        <w:spacing w:before="120" w:after="120"/>
        <w:ind w:firstLine="720" w:left="0"/>
        <w:rPr>
          <w:sz w:val="18"/>
        </w:rPr>
      </w:pPr>
      <w:r>
        <mc:AlternateContent>
          <mc:Choice Requires="wps">
            <w:drawing>
              <wp:anchor xmlns:wp="http://schemas.openxmlformats.org/drawingml/2006/wordprocessingDrawing" simplePos="0" allowOverlap="0" behindDoc="0" layoutInCell="1" locked="0" relativeHeight="1" distL="114300" distR="114300">
                <wp:simplePos x="0" y="0"/>
                <wp:positionH relativeFrom="column">
                  <wp:posOffset>457200</wp:posOffset>
                </wp:positionH>
                <wp:positionV relativeFrom="paragraph">
                  <wp:posOffset>165735</wp:posOffset>
                </wp:positionV>
                <wp:extent cx="5391150" cy="412750"/>
                <wp:wrapNone/>
                <wp:docPr id="2" name="Text Box 2"/>
                <a:graphic xmlns:a="http://schemas.openxmlformats.org/drawingml/2006/main">
                  <a:graphicData uri="http://schemas.microsoft.com/office/word/2010/wordprocessingShape">
                    <wps:wsp>
                      <wps:cNvSpPr/>
                      <wps:spPr>
                        <a:xfrm>
                          <a:off x="0" y="0"/>
                          <a:ext cx="5391150" cy="412750"/>
                        </a:xfrm>
                        <a:prstGeom prst="rect"/>
                      </wps:spPr>
                      <wps:txbx>
                        <w:txbxContent>
                          <w:p>
                            <w:pPr>
                              <w:jc w:val="center"/>
                              <w:rPr>
                                <w:rFonts w:ascii="Arial" w:hAnsi="Arial"/>
                                <w:b w:val="1"/>
                                <w:sz w:val="20"/>
                              </w:rPr>
                            </w:pPr>
                            <w:r>
                              <w:rPr>
                                <w:rFonts w:ascii="Arial" w:hAnsi="Arial"/>
                                <w:b w:val="1"/>
                                <w:sz w:val="20"/>
                              </w:rPr>
                              <w:t>Percentage s</w:t>
                            </w:r>
                            <w:r>
                              <w:rPr>
                                <w:rFonts w:ascii="Arial" w:hAnsi="Arial"/>
                                <w:b w:val="1"/>
                                <w:sz w:val="20"/>
                              </w:rPr>
                              <w:t xml:space="preserve">hare of first time registered </w:t>
                            </w:r>
                            <w:r>
                              <w:rPr>
                                <w:rFonts w:ascii="Arial" w:hAnsi="Arial"/>
                                <w:b w:val="1"/>
                                <w:sz w:val="20"/>
                              </w:rPr>
                              <w:t xml:space="preserve">road </w:t>
                            </w:r>
                            <w:r>
                              <w:rPr>
                                <w:rFonts w:ascii="Arial" w:hAnsi="Arial"/>
                                <w:b w:val="1"/>
                                <w:sz w:val="20"/>
                              </w:rPr>
                              <w:t xml:space="preserve">motor vehicles and trailers </w:t>
                            </w:r>
                          </w:p>
                          <w:p>
                            <w:pPr>
                              <w:jc w:val="center"/>
                              <w:rPr>
                                <w:rFonts w:ascii="Arial" w:hAnsi="Arial"/>
                                <w:b w:val="1"/>
                                <w:sz w:val="20"/>
                              </w:rPr>
                            </w:pPr>
                            <w:r>
                              <w:rPr>
                                <w:rFonts w:ascii="Arial" w:hAnsi="Arial"/>
                                <w:b w:val="1"/>
                                <w:sz w:val="20"/>
                              </w:rPr>
                              <w:t>- Republic of Serbia-</w:t>
                            </w:r>
                            <w:r>
                              <w:rPr>
                                <w:rFonts w:ascii="Arial" w:hAnsi="Arial"/>
                                <w:b w:val="1"/>
                                <w:sz w:val="20"/>
                              </w:rPr>
                              <w:t xml:space="preserve"> </w:t>
                            </w:r>
                          </w:p>
                        </w:txbxContent>
                      </wps:txbx>
                      <wps:bodyPr/>
                    </wps:wsp>
                  </a:graphicData>
                </a:graphic>
              </wp:anchor>
            </w:drawing>
          </mc:Choice>
          <mc:Fallback>
            <w:pict>
              <v:shapetype id="3" path="m,l,21600r21600,l21600,xe"/>
              <v:shape xmlns:o="urn:schemas-microsoft-com:office:office" type="#3" id="Text Box 2" style="position:absolute;width:424.5pt;height:32.5pt;z-index:1;mso-wrap-distance-left:9pt;mso-wrap-distance-top:0pt;mso-wrap-distance-right:9pt;mso-wrap-distance-bottom:0pt;margin-left:36pt;margin-top:13.05pt;mso-position-horizontal:absolute;mso-position-horizontal-relative:text;mso-position-vertical:absolute;mso-position-vertical-relative:text" stroked="f" o:allowincell="t">
                <v:textbox>
                  <w:txbxContent>
                    <w:p>
                      <w:pPr>
                        <w:jc w:val="center"/>
                        <w:rPr>
                          <w:rFonts w:ascii="Arial" w:hAnsi="Arial"/>
                          <w:b w:val="1"/>
                          <w:sz w:val="20"/>
                        </w:rPr>
                      </w:pPr>
                      <w:r>
                        <w:rPr>
                          <w:rFonts w:ascii="Arial" w:hAnsi="Arial"/>
                          <w:b w:val="1"/>
                          <w:sz w:val="20"/>
                        </w:rPr>
                        <w:t>Percentage s</w:t>
                      </w:r>
                      <w:r>
                        <w:rPr>
                          <w:rFonts w:ascii="Arial" w:hAnsi="Arial"/>
                          <w:b w:val="1"/>
                          <w:sz w:val="20"/>
                        </w:rPr>
                        <w:t xml:space="preserve">hare of first time registered </w:t>
                      </w:r>
                      <w:r>
                        <w:rPr>
                          <w:rFonts w:ascii="Arial" w:hAnsi="Arial"/>
                          <w:b w:val="1"/>
                          <w:sz w:val="20"/>
                        </w:rPr>
                        <w:t xml:space="preserve">road </w:t>
                      </w:r>
                      <w:r>
                        <w:rPr>
                          <w:rFonts w:ascii="Arial" w:hAnsi="Arial"/>
                          <w:b w:val="1"/>
                          <w:sz w:val="20"/>
                        </w:rPr>
                        <w:t xml:space="preserve">motor vehicles and trailers </w:t>
                      </w:r>
                    </w:p>
                    <w:p>
                      <w:pPr>
                        <w:jc w:val="center"/>
                        <w:rPr>
                          <w:rFonts w:ascii="Arial" w:hAnsi="Arial"/>
                          <w:b w:val="1"/>
                          <w:sz w:val="20"/>
                        </w:rPr>
                      </w:pPr>
                      <w:r>
                        <w:rPr>
                          <w:rFonts w:ascii="Arial" w:hAnsi="Arial"/>
                          <w:b w:val="1"/>
                          <w:sz w:val="20"/>
                        </w:rPr>
                        <w:t>- Republic of Serbia-</w:t>
                      </w:r>
                      <w:r>
                        <w:rPr>
                          <w:rFonts w:ascii="Arial" w:hAnsi="Arial"/>
                          <w:b w:val="1"/>
                          <w:sz w:val="20"/>
                        </w:rPr>
                        <w:t xml:space="preserve"> </w:t>
                      </w:r>
                    </w:p>
                  </w:txbxContent>
                </v:textbox>
              </v:shape>
            </w:pict>
          </mc:Fallback>
        </mc:AlternateContent>
      </w:r>
    </w:p>
    <w:p>
      <w:pPr>
        <w:pStyle w:val="P13"/>
        <w:spacing w:before="120" w:after="120"/>
        <w:ind w:firstLine="720" w:left="0"/>
        <w:rPr>
          <w:sz w:val="18"/>
        </w:rPr>
      </w:pPr>
    </w:p>
    <w:p>
      <w:pPr>
        <w:pStyle w:val="P13"/>
        <w:spacing w:before="120" w:after="120"/>
        <w:ind w:firstLine="720" w:left="0"/>
        <w:rPr>
          <w:sz w:val="18"/>
        </w:rPr>
      </w:pPr>
    </w:p>
    <w:p>
      <w:pPr>
        <w:pStyle w:val="P13"/>
        <w:spacing w:before="120" w:after="120"/>
        <w:ind w:firstLine="0" w:left="0"/>
        <w:jc w:val="center"/>
        <w:rPr>
          <w:sz w:val="18"/>
        </w:rPr>
      </w:pPr>
      <w:r>
        <w:drawing>
          <wp:inline xmlns:wp="http://schemas.openxmlformats.org/drawingml/2006/wordprocessingDrawing">
            <wp:extent cx="6272530" cy="3703955"/>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2"/>
                    <a:stretch>
                      <a:fillRect/>
                    </a:stretch>
                  </pic:blipFill>
                  <pic:spPr>
                    <a:xfrm>
                      <a:off x="0" y="0"/>
                      <a:ext cx="6272530" cy="3703955"/>
                    </a:xfrm>
                    <a:prstGeom prst="rect"/>
                    <a:noFill/>
                  </pic:spPr>
                </pic:pic>
              </a:graphicData>
            </a:graphic>
          </wp:inline>
        </w:drawing>
      </w:r>
    </w:p>
    <w:p>
      <w:pPr>
        <w:rPr>
          <w:rFonts w:ascii="Arial" w:hAnsi="Arial"/>
          <w:b w:val="1"/>
          <w:sz w:val="20"/>
        </w:rPr>
      </w:pPr>
    </w:p>
    <w:p>
      <w:pPr>
        <w:rPr>
          <w:rFonts w:ascii="Arial" w:hAnsi="Arial"/>
          <w:b w:val="1"/>
          <w:sz w:val="20"/>
        </w:rPr>
      </w:pPr>
    </w:p>
    <w:p>
      <w:pPr>
        <w:rPr>
          <w:rFonts w:ascii="Arial" w:hAnsi="Arial"/>
          <w:b w:val="1"/>
          <w:sz w:val="20"/>
        </w:rPr>
      </w:pPr>
    </w:p>
    <w:p>
      <w:pPr>
        <w:jc w:val="center"/>
        <w:rPr>
          <w:rFonts w:ascii="Arial" w:hAnsi="Arial"/>
          <w:b w:val="1"/>
          <w:sz w:val="20"/>
        </w:rPr>
      </w:pPr>
      <w:r>
        <w:rPr>
          <w:rFonts w:ascii="Arial" w:hAnsi="Arial"/>
          <w:b w:val="1"/>
          <w:sz w:val="20"/>
        </w:rPr>
        <w:t xml:space="preserve">1. </w:t>
      </w:r>
      <w:r>
        <w:rPr>
          <w:rFonts w:ascii="Arial" w:hAnsi="Arial"/>
          <w:b w:val="1"/>
          <w:sz w:val="20"/>
        </w:rPr>
        <w:t>Number of first time registered road vehicles and trailers</w:t>
      </w:r>
    </w:p>
    <w:p>
      <w:pPr>
        <w:rPr>
          <w:rFonts w:ascii="Arial" w:hAnsi="Arial"/>
          <w:b w:val="1"/>
          <w:sz w:val="4"/>
        </w:rPr>
      </w:pPr>
    </w:p>
    <w:tbl>
      <w:tblPr>
        <w:tblStyle w:val="T3"/>
        <w:tblW w:w="0" w:type="auto"/>
        <w:jc w:val="center"/>
        <w:tblLayout w:type="autofit"/>
        <w:tblCellMar>
          <w:left w:w="28" w:type="dxa"/>
          <w:right w:w="28" w:type="dxa"/>
        </w:tblCellMar>
      </w:tblPr>
      <w:tblGrid/>
      <w:tr>
        <w:trPr>
          <w:wAfter w:w="0" w:type="dxa"/>
        </w:trPr>
        <w:tc>
          <w:tcPr>
            <w:tcW w:w="1307" w:type="dxa"/>
            <w:vMerge w:val="restart"/>
            <w:tcBorders>
              <w:left w:val="none" w:sz="0" w:space="0" w:shadow="0" w:frame="0"/>
            </w:tcBorders>
          </w:tcPr>
          <w:p>
            <w:pPr>
              <w:spacing w:before="60" w:after="60"/>
              <w:jc w:val="center"/>
              <w:rPr>
                <w:rFonts w:ascii="Arial" w:hAnsi="Arial"/>
                <w:sz w:val="15"/>
              </w:rPr>
            </w:pPr>
          </w:p>
        </w:tc>
        <w:tc>
          <w:tcPr>
            <w:tcW w:w="3932" w:type="dxa"/>
            <w:gridSpan w:val="6"/>
          </w:tcPr>
          <w:p>
            <w:pPr>
              <w:spacing w:before="60" w:after="60"/>
              <w:jc w:val="center"/>
              <w:rPr>
                <w:rFonts w:ascii="Arial" w:hAnsi="Arial"/>
                <w:sz w:val="16"/>
                <w:vertAlign w:val="superscript"/>
              </w:rPr>
            </w:pPr>
            <w:r>
              <w:rPr>
                <w:rFonts w:ascii="Arial" w:hAnsi="Arial"/>
                <w:sz w:val="16"/>
              </w:rPr>
              <w:t>IV quarter 2011</w:t>
              <w:br w:type="textWrapping"/>
              <w:t>Republic of Serbia</w:t>
            </w:r>
          </w:p>
        </w:tc>
        <w:tc>
          <w:tcPr>
            <w:tcW w:w="4000" w:type="dxa"/>
            <w:gridSpan w:val="6"/>
          </w:tcPr>
          <w:p>
            <w:pPr>
              <w:spacing w:before="60" w:after="60"/>
              <w:jc w:val="center"/>
              <w:rPr>
                <w:rFonts w:ascii="CTimesRoman" w:hAnsi="CTimesRoman"/>
                <w:sz w:val="20"/>
              </w:rPr>
            </w:pPr>
            <w:r>
              <w:rPr>
                <w:rFonts w:ascii="Arial" w:hAnsi="Arial"/>
                <w:sz w:val="16"/>
              </w:rPr>
              <w:t>IV quarter 2012</w:t>
              <w:br w:type="textWrapping"/>
              <w:t>Republic of Serbia</w:t>
            </w:r>
          </w:p>
        </w:tc>
        <w:tc>
          <w:tcPr>
            <w:tcW w:w="684" w:type="dxa"/>
            <w:vMerge w:val="restart"/>
            <w:tcBorders>
              <w:right w:val="none" w:sz="0" w:space="0" w:shadow="0" w:frame="0"/>
            </w:tcBorders>
            <w:vAlign w:val="center"/>
          </w:tcPr>
          <w:p>
            <w:pPr>
              <w:spacing w:before="60" w:after="60"/>
              <w:jc w:val="center"/>
              <w:rPr>
                <w:rFonts w:ascii="CTimesRoman" w:hAnsi="CTimesRoman"/>
                <w:sz w:val="20"/>
              </w:rPr>
            </w:pPr>
            <w:r>
              <w:rPr>
                <w:rFonts w:ascii="Arial" w:hAnsi="Arial"/>
                <w:sz w:val="16"/>
                <w:u w:val="single"/>
              </w:rPr>
              <w:t>IV quarter 2012</w:t>
              <w:br w:type="textWrapping"/>
            </w:r>
            <w:r>
              <w:rPr>
                <w:rFonts w:ascii="Arial" w:hAnsi="Arial"/>
                <w:sz w:val="16"/>
              </w:rPr>
              <w:t>IV quarter 2011</w:t>
            </w:r>
          </w:p>
        </w:tc>
      </w:tr>
      <w:tr>
        <w:trPr>
          <w:wAfter w:w="0" w:type="dxa"/>
        </w:trPr>
        <w:tc>
          <w:tcPr>
            <w:tcW w:w="1307" w:type="dxa"/>
            <w:vMerge w:val="continue"/>
            <w:tcBorders>
              <w:left w:val="none" w:sz="0" w:space="0" w:shadow="0" w:frame="0"/>
              <w:bottom w:val="single" w:sz="4" w:space="0" w:shadow="0" w:frame="0"/>
            </w:tcBorders>
          </w:tcPr>
          <w:p>
            <w:pPr>
              <w:jc w:val="center"/>
              <w:rPr>
                <w:rFonts w:ascii="Arial" w:hAnsi="Arial"/>
                <w:sz w:val="15"/>
              </w:rPr>
            </w:pPr>
          </w:p>
        </w:tc>
        <w:tc>
          <w:tcPr>
            <w:tcW w:w="586" w:type="dxa"/>
            <w:tcBorders>
              <w:bottom w:val="single" w:sz="4" w:space="0" w:shadow="0" w:frame="0"/>
            </w:tcBorders>
            <w:vAlign w:val="center"/>
          </w:tcPr>
          <w:p>
            <w:pPr>
              <w:jc w:val="center"/>
              <w:rPr>
                <w:rFonts w:ascii="Arial" w:hAnsi="Arial"/>
                <w:sz w:val="15"/>
              </w:rPr>
            </w:pPr>
            <w:r>
              <w:rPr>
                <w:rFonts w:ascii="Arial" w:hAnsi="Arial"/>
                <w:sz w:val="16"/>
              </w:rPr>
              <w:t>Total</w:t>
            </w:r>
          </w:p>
        </w:tc>
        <w:tc>
          <w:tcPr>
            <w:tcW w:w="657" w:type="dxa"/>
            <w:tcBorders>
              <w:bottom w:val="single" w:sz="4" w:space="0" w:shadow="0" w:frame="0"/>
            </w:tcBorders>
            <w:vAlign w:val="center"/>
          </w:tcPr>
          <w:p>
            <w:pPr>
              <w:jc w:val="center"/>
              <w:rPr>
                <w:rFonts w:ascii="Arial" w:hAnsi="Arial"/>
                <w:sz w:val="15"/>
              </w:rPr>
            </w:pPr>
            <w:r>
              <w:rPr>
                <w:rFonts w:ascii="Arial" w:hAnsi="Arial"/>
                <w:sz w:val="15"/>
              </w:rPr>
              <w:t>City of Belgrade</w:t>
            </w:r>
          </w:p>
        </w:tc>
        <w:tc>
          <w:tcPr>
            <w:tcW w:w="715" w:type="dxa"/>
            <w:tcBorders>
              <w:bottom w:val="single" w:sz="4" w:space="0" w:shadow="0" w:frame="0"/>
            </w:tcBorders>
            <w:vAlign w:val="center"/>
          </w:tcPr>
          <w:p>
            <w:pPr>
              <w:jc w:val="center"/>
              <w:rPr>
                <w:rFonts w:ascii="Arial" w:hAnsi="Arial"/>
                <w:sz w:val="15"/>
              </w:rPr>
            </w:pPr>
            <w:r>
              <w:rPr>
                <w:rFonts w:ascii="Arial" w:hAnsi="Arial"/>
                <w:sz w:val="15"/>
              </w:rPr>
              <w:t>Region of Vojvodina</w:t>
            </w:r>
          </w:p>
        </w:tc>
        <w:tc>
          <w:tcPr>
            <w:tcW w:w="721" w:type="dxa"/>
            <w:tcBorders>
              <w:bottom w:val="single" w:sz="4" w:space="0" w:shadow="0" w:frame="0"/>
            </w:tcBorders>
            <w:vAlign w:val="center"/>
          </w:tcPr>
          <w:p>
            <w:pPr>
              <w:jc w:val="center"/>
              <w:rPr>
                <w:rFonts w:ascii="Arial" w:hAnsi="Arial"/>
                <w:sz w:val="15"/>
              </w:rPr>
            </w:pPr>
            <w:r>
              <w:rPr>
                <w:rFonts w:ascii="Arial" w:hAnsi="Arial"/>
                <w:sz w:val="15"/>
              </w:rPr>
              <w:t>Region of Sumadija and West Serbia</w:t>
            </w:r>
          </w:p>
        </w:tc>
        <w:tc>
          <w:tcPr>
            <w:tcW w:w="598" w:type="dxa"/>
            <w:tcBorders>
              <w:bottom w:val="single" w:sz="4" w:space="0" w:shadow="0" w:frame="0"/>
            </w:tcBorders>
            <w:vAlign w:val="center"/>
          </w:tcPr>
          <w:p>
            <w:pPr>
              <w:jc w:val="center"/>
              <w:rPr>
                <w:rFonts w:ascii="Arial" w:hAnsi="Arial"/>
                <w:sz w:val="15"/>
              </w:rPr>
            </w:pPr>
            <w:r>
              <w:rPr>
                <w:rFonts w:ascii="Arial" w:hAnsi="Arial"/>
                <w:sz w:val="15"/>
              </w:rPr>
              <w:t>Region of South and East Serbia</w:t>
            </w:r>
          </w:p>
        </w:tc>
        <w:tc>
          <w:tcPr>
            <w:tcW w:w="655" w:type="dxa"/>
            <w:tcBorders>
              <w:bottom w:val="single" w:sz="4" w:space="0" w:shadow="0" w:frame="0"/>
            </w:tcBorders>
            <w:vAlign w:val="center"/>
          </w:tcPr>
          <w:p>
            <w:pPr>
              <w:jc w:val="center"/>
              <w:rPr>
                <w:rFonts w:ascii="Arial" w:hAnsi="Arial"/>
                <w:sz w:val="15"/>
              </w:rPr>
            </w:pPr>
            <w:r>
              <w:rPr>
                <w:rFonts w:ascii="Arial" w:hAnsi="Arial"/>
                <w:sz w:val="15"/>
              </w:rPr>
              <w:t>Region of Kosovo and Metohia</w:t>
            </w:r>
          </w:p>
        </w:tc>
        <w:tc>
          <w:tcPr>
            <w:tcW w:w="592" w:type="dxa"/>
            <w:tcBorders>
              <w:bottom w:val="single" w:sz="4" w:space="0" w:shadow="0" w:frame="0"/>
            </w:tcBorders>
            <w:vAlign w:val="center"/>
          </w:tcPr>
          <w:p>
            <w:pPr>
              <w:jc w:val="center"/>
              <w:rPr>
                <w:rFonts w:ascii="Arial" w:hAnsi="Arial"/>
                <w:sz w:val="15"/>
              </w:rPr>
            </w:pPr>
            <w:r>
              <w:rPr>
                <w:rFonts w:ascii="Arial" w:hAnsi="Arial"/>
                <w:sz w:val="16"/>
              </w:rPr>
              <w:t>Total</w:t>
            </w:r>
          </w:p>
        </w:tc>
        <w:tc>
          <w:tcPr>
            <w:tcW w:w="657" w:type="dxa"/>
            <w:tcBorders>
              <w:bottom w:val="single" w:sz="4" w:space="0" w:shadow="0" w:frame="0"/>
            </w:tcBorders>
            <w:vAlign w:val="center"/>
          </w:tcPr>
          <w:p>
            <w:pPr>
              <w:jc w:val="center"/>
              <w:rPr>
                <w:rFonts w:ascii="Arial" w:hAnsi="Arial"/>
                <w:sz w:val="15"/>
              </w:rPr>
            </w:pPr>
            <w:r>
              <w:rPr>
                <w:rFonts w:ascii="Arial" w:hAnsi="Arial"/>
                <w:sz w:val="15"/>
              </w:rPr>
              <w:t>City of Belgrade</w:t>
            </w:r>
          </w:p>
        </w:tc>
        <w:tc>
          <w:tcPr>
            <w:tcW w:w="715" w:type="dxa"/>
            <w:tcBorders>
              <w:bottom w:val="single" w:sz="4" w:space="0" w:shadow="0" w:frame="0"/>
            </w:tcBorders>
            <w:vAlign w:val="center"/>
          </w:tcPr>
          <w:p>
            <w:pPr>
              <w:jc w:val="center"/>
              <w:rPr>
                <w:rFonts w:ascii="Arial" w:hAnsi="Arial"/>
                <w:sz w:val="15"/>
              </w:rPr>
            </w:pPr>
            <w:r>
              <w:rPr>
                <w:rFonts w:ascii="Arial" w:hAnsi="Arial"/>
                <w:sz w:val="15"/>
              </w:rPr>
              <w:t>Region of Vojvodina</w:t>
            </w:r>
          </w:p>
        </w:tc>
        <w:tc>
          <w:tcPr>
            <w:tcW w:w="735" w:type="dxa"/>
            <w:tcBorders>
              <w:bottom w:val="single" w:sz="4" w:space="0" w:shadow="0" w:frame="0"/>
            </w:tcBorders>
            <w:vAlign w:val="center"/>
          </w:tcPr>
          <w:p>
            <w:pPr>
              <w:jc w:val="center"/>
              <w:rPr>
                <w:rFonts w:ascii="Arial" w:hAnsi="Arial"/>
                <w:sz w:val="15"/>
              </w:rPr>
            </w:pPr>
            <w:r>
              <w:rPr>
                <w:rFonts w:ascii="Arial" w:hAnsi="Arial"/>
                <w:sz w:val="15"/>
              </w:rPr>
              <w:t>Region of Sumadija and West Serbia</w:t>
            </w:r>
          </w:p>
        </w:tc>
        <w:tc>
          <w:tcPr>
            <w:tcW w:w="622" w:type="dxa"/>
            <w:tcBorders>
              <w:bottom w:val="single" w:sz="4" w:space="0" w:shadow="0" w:frame="0"/>
            </w:tcBorders>
            <w:vAlign w:val="center"/>
          </w:tcPr>
          <w:p>
            <w:pPr>
              <w:jc w:val="center"/>
              <w:rPr>
                <w:rFonts w:ascii="Arial" w:hAnsi="Arial"/>
                <w:sz w:val="15"/>
              </w:rPr>
            </w:pPr>
            <w:r>
              <w:rPr>
                <w:rFonts w:ascii="Arial" w:hAnsi="Arial"/>
                <w:sz w:val="15"/>
              </w:rPr>
              <w:t>Region of South and East Serbia</w:t>
            </w:r>
          </w:p>
        </w:tc>
        <w:tc>
          <w:tcPr>
            <w:tcW w:w="679" w:type="dxa"/>
            <w:tcBorders>
              <w:bottom w:val="single" w:sz="4" w:space="0" w:shadow="0" w:frame="0"/>
            </w:tcBorders>
            <w:vAlign w:val="center"/>
          </w:tcPr>
          <w:p>
            <w:pPr>
              <w:jc w:val="center"/>
              <w:rPr>
                <w:rFonts w:ascii="Arial" w:hAnsi="Arial"/>
                <w:sz w:val="15"/>
              </w:rPr>
            </w:pPr>
            <w:r>
              <w:rPr>
                <w:rFonts w:ascii="Arial" w:hAnsi="Arial"/>
                <w:sz w:val="15"/>
              </w:rPr>
              <w:t>Region of Kosovo and Metohia</w:t>
            </w:r>
          </w:p>
        </w:tc>
        <w:tc>
          <w:tcPr>
            <w:tcW w:w="684" w:type="dxa"/>
            <w:vMerge w:val="continue"/>
            <w:tcBorders>
              <w:bottom w:val="single" w:sz="4" w:space="0" w:shadow="0" w:frame="0"/>
              <w:right w:val="none" w:sz="0" w:space="0" w:shadow="0" w:frame="0"/>
            </w:tcBorders>
            <w:vAlign w:val="center"/>
          </w:tcPr>
          <w:p>
            <w:pPr>
              <w:jc w:val="center"/>
              <w:rPr>
                <w:rFonts w:ascii="Arial" w:hAnsi="Arial"/>
                <w:sz w:val="15"/>
              </w:rPr>
            </w:pPr>
          </w:p>
        </w:tc>
      </w:tr>
      <w:tr>
        <w:trPr>
          <w:wAfter w:w="0" w:type="dxa"/>
        </w:trPr>
        <w:tc>
          <w:tcPr>
            <w:tcW w:w="1307" w:type="dxa"/>
            <w:tcBorders>
              <w:top w:val="single" w:sz="4" w:space="0" w:shadow="0" w:frame="0"/>
              <w:left w:val="none" w:sz="0" w:space="0" w:shadow="0" w:frame="0"/>
              <w:bottom w:val="none" w:sz="0" w:space="0" w:shadow="0" w:frame="0"/>
              <w:right w:val="single" w:sz="4" w:space="0" w:shadow="0" w:frame="0"/>
            </w:tcBorders>
            <w:vAlign w:val="center"/>
          </w:tcPr>
          <w:p>
            <w:pPr>
              <w:rPr>
                <w:rFonts w:ascii="Arial" w:hAnsi="Arial"/>
                <w:sz w:val="16"/>
              </w:rPr>
            </w:pPr>
          </w:p>
        </w:tc>
        <w:tc>
          <w:tcPr>
            <w:tcW w:w="586" w:type="dxa"/>
            <w:tcBorders>
              <w:top w:val="single" w:sz="4"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p>
        </w:tc>
        <w:tc>
          <w:tcPr>
            <w:tcW w:w="657" w:type="dxa"/>
            <w:tcBorders>
              <w:top w:val="single" w:sz="4"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715" w:type="dxa"/>
            <w:tcBorders>
              <w:top w:val="single" w:sz="4"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721" w:type="dxa"/>
            <w:tcBorders>
              <w:top w:val="single" w:sz="4"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598" w:type="dxa"/>
            <w:tcBorders>
              <w:top w:val="single" w:sz="4"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655" w:type="dxa"/>
            <w:tcBorders>
              <w:top w:val="single" w:sz="4" w:space="0" w:shadow="0" w:frame="0"/>
              <w:left w:val="none" w:sz="0" w:space="0" w:shadow="0" w:frame="0"/>
              <w:bottom w:val="none" w:sz="0" w:space="0" w:shadow="0" w:frame="0"/>
              <w:right w:val="single" w:sz="4" w:space="0" w:shadow="0" w:frame="0"/>
            </w:tcBorders>
            <w:vAlign w:val="bottom"/>
          </w:tcPr>
          <w:p>
            <w:pPr>
              <w:jc w:val="right"/>
              <w:rPr>
                <w:rFonts w:ascii="Arial" w:hAnsi="Arial"/>
                <w:sz w:val="16"/>
              </w:rPr>
            </w:pPr>
          </w:p>
        </w:tc>
        <w:tc>
          <w:tcPr>
            <w:tcW w:w="592" w:type="dxa"/>
            <w:tcBorders>
              <w:top w:val="single" w:sz="4"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p>
        </w:tc>
        <w:tc>
          <w:tcPr>
            <w:tcW w:w="657" w:type="dxa"/>
            <w:tcBorders>
              <w:top w:val="single" w:sz="4"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715" w:type="dxa"/>
            <w:tcBorders>
              <w:top w:val="single" w:sz="4"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735" w:type="dxa"/>
            <w:tcBorders>
              <w:top w:val="single" w:sz="4"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622" w:type="dxa"/>
            <w:tcBorders>
              <w:top w:val="single" w:sz="4"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c>
          <w:tcPr>
            <w:tcW w:w="679" w:type="dxa"/>
            <w:tcBorders>
              <w:top w:val="single" w:sz="4" w:space="0" w:shadow="0" w:frame="0"/>
              <w:left w:val="none" w:sz="0" w:space="0" w:shadow="0" w:frame="0"/>
              <w:bottom w:val="none" w:sz="0" w:space="0" w:shadow="0" w:frame="0"/>
              <w:right w:val="single" w:sz="4" w:space="0" w:shadow="0" w:frame="0"/>
            </w:tcBorders>
            <w:vAlign w:val="bottom"/>
          </w:tcPr>
          <w:p>
            <w:pPr>
              <w:jc w:val="right"/>
              <w:rPr>
                <w:rFonts w:ascii="Arial" w:hAnsi="Arial"/>
                <w:sz w:val="16"/>
              </w:rPr>
            </w:pPr>
          </w:p>
        </w:tc>
        <w:tc>
          <w:tcPr>
            <w:tcW w:w="684" w:type="dxa"/>
            <w:tcBorders>
              <w:top w:val="single" w:sz="4"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p>
        </w:tc>
      </w:tr>
      <w:tr>
        <w:trPr>
          <w:wAfter w:w="0" w:type="dxa"/>
        </w:trPr>
        <w:tc>
          <w:tcPr>
            <w:tcW w:w="1307" w:type="dxa"/>
            <w:tcBorders>
              <w:top w:val="none" w:sz="0" w:space="0" w:shadow="0" w:frame="0"/>
              <w:left w:val="none" w:sz="0" w:space="0" w:shadow="0" w:frame="0"/>
              <w:bottom w:val="none" w:sz="0" w:space="0" w:shadow="0" w:frame="0"/>
              <w:right w:val="single" w:sz="4" w:space="0" w:shadow="0" w:frame="0"/>
            </w:tcBorders>
            <w:vAlign w:val="center"/>
          </w:tcPr>
          <w:p>
            <w:pPr>
              <w:spacing w:before="96"/>
              <w:rPr>
                <w:rFonts w:ascii="Arial" w:hAnsi="Arial"/>
                <w:sz w:val="16"/>
              </w:rPr>
            </w:pPr>
            <w:r>
              <w:rPr>
                <w:rFonts w:ascii="Arial" w:hAnsi="Arial"/>
                <w:sz w:val="16"/>
              </w:rPr>
              <w:t>Mopeds</w:t>
            </w:r>
          </w:p>
        </w:tc>
        <w:tc>
          <w:tcPr>
            <w:tcW w:w="586"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518</w:t>
            </w:r>
          </w:p>
        </w:tc>
        <w:tc>
          <w:tcPr>
            <w:tcW w:w="65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177</w:t>
            </w:r>
          </w:p>
        </w:tc>
        <w:tc>
          <w:tcPr>
            <w:tcW w:w="71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147</w:t>
            </w:r>
          </w:p>
        </w:tc>
        <w:tc>
          <w:tcPr>
            <w:tcW w:w="721"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76</w:t>
            </w:r>
          </w:p>
        </w:tc>
        <w:tc>
          <w:tcPr>
            <w:tcW w:w="598"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116</w:t>
            </w:r>
          </w:p>
        </w:tc>
        <w:tc>
          <w:tcPr>
            <w:tcW w:w="655"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2</w:t>
            </w:r>
          </w:p>
        </w:tc>
        <w:tc>
          <w:tcPr>
            <w:tcW w:w="592"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606</w:t>
            </w:r>
          </w:p>
        </w:tc>
        <w:tc>
          <w:tcPr>
            <w:tcW w:w="65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203</w:t>
            </w:r>
          </w:p>
        </w:tc>
        <w:tc>
          <w:tcPr>
            <w:tcW w:w="71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188</w:t>
            </w:r>
          </w:p>
        </w:tc>
        <w:tc>
          <w:tcPr>
            <w:tcW w:w="73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90</w:t>
            </w:r>
          </w:p>
        </w:tc>
        <w:tc>
          <w:tcPr>
            <w:tcW w:w="62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125</w:t>
            </w:r>
          </w:p>
        </w:tc>
        <w:tc>
          <w:tcPr>
            <w:tcW w:w="679"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w:t>
            </w:r>
          </w:p>
        </w:tc>
        <w:tc>
          <w:tcPr>
            <w:tcW w:w="684"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117.0</w:t>
            </w:r>
          </w:p>
        </w:tc>
      </w:tr>
      <w:tr>
        <w:trPr>
          <w:wAfter w:w="0" w:type="dxa"/>
        </w:trPr>
        <w:tc>
          <w:tcPr>
            <w:tcW w:w="1307" w:type="dxa"/>
            <w:tcBorders>
              <w:top w:val="none" w:sz="0" w:space="0" w:shadow="0" w:frame="0"/>
              <w:left w:val="none" w:sz="0" w:space="0" w:shadow="0" w:frame="0"/>
              <w:bottom w:val="none" w:sz="0" w:space="0" w:shadow="0" w:frame="0"/>
              <w:right w:val="single" w:sz="4" w:space="0" w:shadow="0" w:frame="0"/>
            </w:tcBorders>
            <w:vAlign w:val="center"/>
          </w:tcPr>
          <w:p>
            <w:pPr>
              <w:spacing w:before="96"/>
              <w:rPr>
                <w:rFonts w:ascii="Arial" w:hAnsi="Arial"/>
                <w:sz w:val="16"/>
              </w:rPr>
            </w:pPr>
            <w:r>
              <w:rPr>
                <w:rFonts w:ascii="Arial" w:hAnsi="Arial"/>
                <w:sz w:val="16"/>
              </w:rPr>
              <w:t>Motorcycles</w:t>
            </w:r>
          </w:p>
        </w:tc>
        <w:tc>
          <w:tcPr>
            <w:tcW w:w="586"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378</w:t>
            </w:r>
          </w:p>
        </w:tc>
        <w:tc>
          <w:tcPr>
            <w:tcW w:w="65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76</w:t>
            </w:r>
          </w:p>
        </w:tc>
        <w:tc>
          <w:tcPr>
            <w:tcW w:w="71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122</w:t>
            </w:r>
          </w:p>
        </w:tc>
        <w:tc>
          <w:tcPr>
            <w:tcW w:w="721"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88</w:t>
            </w:r>
          </w:p>
        </w:tc>
        <w:tc>
          <w:tcPr>
            <w:tcW w:w="598"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90</w:t>
            </w:r>
          </w:p>
        </w:tc>
        <w:tc>
          <w:tcPr>
            <w:tcW w:w="655"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2</w:t>
            </w:r>
          </w:p>
        </w:tc>
        <w:tc>
          <w:tcPr>
            <w:tcW w:w="592"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450</w:t>
            </w:r>
          </w:p>
        </w:tc>
        <w:tc>
          <w:tcPr>
            <w:tcW w:w="65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115</w:t>
            </w:r>
          </w:p>
        </w:tc>
        <w:tc>
          <w:tcPr>
            <w:tcW w:w="71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128</w:t>
            </w:r>
          </w:p>
        </w:tc>
        <w:tc>
          <w:tcPr>
            <w:tcW w:w="73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103</w:t>
            </w:r>
          </w:p>
        </w:tc>
        <w:tc>
          <w:tcPr>
            <w:tcW w:w="62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101</w:t>
            </w:r>
          </w:p>
        </w:tc>
        <w:tc>
          <w:tcPr>
            <w:tcW w:w="679"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3</w:t>
            </w:r>
          </w:p>
        </w:tc>
        <w:tc>
          <w:tcPr>
            <w:tcW w:w="684"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119.0</w:t>
            </w:r>
          </w:p>
        </w:tc>
      </w:tr>
      <w:tr>
        <w:trPr>
          <w:wAfter w:w="0" w:type="dxa"/>
        </w:trPr>
        <w:tc>
          <w:tcPr>
            <w:tcW w:w="1307" w:type="dxa"/>
            <w:tcBorders>
              <w:top w:val="none" w:sz="0" w:space="0" w:shadow="0" w:frame="0"/>
              <w:left w:val="none" w:sz="0" w:space="0" w:shadow="0" w:frame="0"/>
              <w:bottom w:val="none" w:sz="0" w:space="0" w:shadow="0" w:frame="0"/>
              <w:right w:val="single" w:sz="4" w:space="0" w:shadow="0" w:frame="0"/>
            </w:tcBorders>
            <w:vAlign w:val="center"/>
          </w:tcPr>
          <w:p>
            <w:pPr>
              <w:spacing w:before="96"/>
              <w:rPr>
                <w:rFonts w:ascii="Arial" w:hAnsi="Arial"/>
                <w:sz w:val="16"/>
              </w:rPr>
            </w:pPr>
            <w:r>
              <w:rPr>
                <w:rFonts w:ascii="Arial" w:hAnsi="Arial"/>
                <w:sz w:val="16"/>
              </w:rPr>
              <w:t>Passengers cars</w:t>
            </w:r>
          </w:p>
        </w:tc>
        <w:tc>
          <w:tcPr>
            <w:tcW w:w="586"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31478</w:t>
            </w:r>
          </w:p>
        </w:tc>
        <w:tc>
          <w:tcPr>
            <w:tcW w:w="65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8554</w:t>
            </w:r>
          </w:p>
        </w:tc>
        <w:tc>
          <w:tcPr>
            <w:tcW w:w="71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8518</w:t>
            </w:r>
          </w:p>
        </w:tc>
        <w:tc>
          <w:tcPr>
            <w:tcW w:w="721"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7648</w:t>
            </w:r>
          </w:p>
        </w:tc>
        <w:tc>
          <w:tcPr>
            <w:tcW w:w="598"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6299</w:t>
            </w:r>
          </w:p>
        </w:tc>
        <w:tc>
          <w:tcPr>
            <w:tcW w:w="655"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459</w:t>
            </w:r>
          </w:p>
        </w:tc>
        <w:tc>
          <w:tcPr>
            <w:tcW w:w="592"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33223</w:t>
            </w:r>
          </w:p>
        </w:tc>
        <w:tc>
          <w:tcPr>
            <w:tcW w:w="65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8903</w:t>
            </w:r>
          </w:p>
        </w:tc>
        <w:tc>
          <w:tcPr>
            <w:tcW w:w="71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9629</w:t>
            </w:r>
          </w:p>
        </w:tc>
        <w:tc>
          <w:tcPr>
            <w:tcW w:w="73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8474</w:t>
            </w:r>
          </w:p>
        </w:tc>
        <w:tc>
          <w:tcPr>
            <w:tcW w:w="62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6047</w:t>
            </w:r>
          </w:p>
        </w:tc>
        <w:tc>
          <w:tcPr>
            <w:tcW w:w="679"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170</w:t>
            </w:r>
          </w:p>
        </w:tc>
        <w:tc>
          <w:tcPr>
            <w:tcW w:w="684"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105.5</w:t>
            </w:r>
          </w:p>
        </w:tc>
      </w:tr>
      <w:tr>
        <w:trPr>
          <w:wAfter w:w="0" w:type="dxa"/>
        </w:trPr>
        <w:tc>
          <w:tcPr>
            <w:tcW w:w="1307" w:type="dxa"/>
            <w:tcBorders>
              <w:top w:val="none" w:sz="0" w:space="0" w:shadow="0" w:frame="0"/>
              <w:left w:val="none" w:sz="0" w:space="0" w:shadow="0" w:frame="0"/>
              <w:bottom w:val="none" w:sz="0" w:space="0" w:shadow="0" w:frame="0"/>
              <w:right w:val="single" w:sz="4" w:space="0" w:shadow="0" w:frame="0"/>
            </w:tcBorders>
            <w:vAlign w:val="center"/>
          </w:tcPr>
          <w:p>
            <w:pPr>
              <w:spacing w:before="96"/>
              <w:rPr>
                <w:rFonts w:ascii="Arial" w:hAnsi="Arial"/>
                <w:sz w:val="16"/>
              </w:rPr>
            </w:pPr>
            <w:r>
              <w:rPr>
                <w:rFonts w:ascii="Arial" w:hAnsi="Arial"/>
                <w:sz w:val="16"/>
              </w:rPr>
              <w:t>Buses</w:t>
            </w:r>
          </w:p>
        </w:tc>
        <w:tc>
          <w:tcPr>
            <w:tcW w:w="586"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147</w:t>
            </w:r>
          </w:p>
        </w:tc>
        <w:tc>
          <w:tcPr>
            <w:tcW w:w="65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79</w:t>
            </w:r>
          </w:p>
        </w:tc>
        <w:tc>
          <w:tcPr>
            <w:tcW w:w="71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18</w:t>
            </w:r>
          </w:p>
        </w:tc>
        <w:tc>
          <w:tcPr>
            <w:tcW w:w="721"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34</w:t>
            </w:r>
          </w:p>
        </w:tc>
        <w:tc>
          <w:tcPr>
            <w:tcW w:w="598"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16</w:t>
            </w:r>
          </w:p>
        </w:tc>
        <w:tc>
          <w:tcPr>
            <w:tcW w:w="655"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w:t>
            </w:r>
          </w:p>
        </w:tc>
        <w:tc>
          <w:tcPr>
            <w:tcW w:w="592"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109</w:t>
            </w:r>
          </w:p>
        </w:tc>
        <w:tc>
          <w:tcPr>
            <w:tcW w:w="65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37</w:t>
            </w:r>
          </w:p>
        </w:tc>
        <w:tc>
          <w:tcPr>
            <w:tcW w:w="71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18</w:t>
            </w:r>
          </w:p>
        </w:tc>
        <w:tc>
          <w:tcPr>
            <w:tcW w:w="73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34</w:t>
            </w:r>
          </w:p>
        </w:tc>
        <w:tc>
          <w:tcPr>
            <w:tcW w:w="62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18</w:t>
            </w:r>
          </w:p>
        </w:tc>
        <w:tc>
          <w:tcPr>
            <w:tcW w:w="679"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2</w:t>
            </w:r>
          </w:p>
        </w:tc>
        <w:tc>
          <w:tcPr>
            <w:tcW w:w="684"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74.1</w:t>
            </w:r>
          </w:p>
        </w:tc>
      </w:tr>
      <w:tr>
        <w:trPr>
          <w:wAfter w:w="0" w:type="dxa"/>
        </w:trPr>
        <w:tc>
          <w:tcPr>
            <w:tcW w:w="1307" w:type="dxa"/>
            <w:tcBorders>
              <w:top w:val="none" w:sz="0" w:space="0" w:shadow="0" w:frame="0"/>
              <w:left w:val="none" w:sz="0" w:space="0" w:shadow="0" w:frame="0"/>
              <w:bottom w:val="none" w:sz="0" w:space="0" w:shadow="0" w:frame="0"/>
              <w:right w:val="single" w:sz="4" w:space="0" w:shadow="0" w:frame="0"/>
            </w:tcBorders>
            <w:vAlign w:val="center"/>
          </w:tcPr>
          <w:p>
            <w:pPr>
              <w:spacing w:before="96"/>
              <w:rPr>
                <w:rFonts w:ascii="Arial" w:hAnsi="Arial"/>
                <w:sz w:val="16"/>
              </w:rPr>
            </w:pPr>
            <w:r>
              <w:rPr>
                <w:rFonts w:ascii="Arial" w:hAnsi="Arial"/>
                <w:sz w:val="16"/>
              </w:rPr>
              <w:t>Lorries (trucks)</w:t>
            </w:r>
          </w:p>
        </w:tc>
        <w:tc>
          <w:tcPr>
            <w:tcW w:w="586"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2110</w:t>
            </w:r>
          </w:p>
        </w:tc>
        <w:tc>
          <w:tcPr>
            <w:tcW w:w="65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840</w:t>
            </w:r>
          </w:p>
        </w:tc>
        <w:tc>
          <w:tcPr>
            <w:tcW w:w="71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431</w:t>
            </w:r>
          </w:p>
        </w:tc>
        <w:tc>
          <w:tcPr>
            <w:tcW w:w="721"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513</w:t>
            </w:r>
          </w:p>
        </w:tc>
        <w:tc>
          <w:tcPr>
            <w:tcW w:w="598"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312</w:t>
            </w:r>
          </w:p>
        </w:tc>
        <w:tc>
          <w:tcPr>
            <w:tcW w:w="655"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14</w:t>
            </w:r>
          </w:p>
        </w:tc>
        <w:tc>
          <w:tcPr>
            <w:tcW w:w="592"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2095</w:t>
            </w:r>
          </w:p>
        </w:tc>
        <w:tc>
          <w:tcPr>
            <w:tcW w:w="65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765</w:t>
            </w:r>
          </w:p>
        </w:tc>
        <w:tc>
          <w:tcPr>
            <w:tcW w:w="71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509</w:t>
            </w:r>
          </w:p>
        </w:tc>
        <w:tc>
          <w:tcPr>
            <w:tcW w:w="73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568</w:t>
            </w:r>
          </w:p>
        </w:tc>
        <w:tc>
          <w:tcPr>
            <w:tcW w:w="62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250</w:t>
            </w:r>
          </w:p>
        </w:tc>
        <w:tc>
          <w:tcPr>
            <w:tcW w:w="679"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3</w:t>
            </w:r>
          </w:p>
        </w:tc>
        <w:tc>
          <w:tcPr>
            <w:tcW w:w="684"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99.3</w:t>
            </w:r>
          </w:p>
        </w:tc>
      </w:tr>
      <w:tr>
        <w:trPr>
          <w:wAfter w:w="0" w:type="dxa"/>
        </w:trPr>
        <w:tc>
          <w:tcPr>
            <w:tcW w:w="1307" w:type="dxa"/>
            <w:tcBorders>
              <w:top w:val="none" w:sz="0" w:space="0" w:shadow="0" w:frame="0"/>
              <w:left w:val="none" w:sz="0" w:space="0" w:shadow="0" w:frame="0"/>
              <w:bottom w:val="none" w:sz="0" w:space="0" w:shadow="0" w:frame="0"/>
              <w:right w:val="single" w:sz="4" w:space="0" w:shadow="0" w:frame="0"/>
            </w:tcBorders>
            <w:vAlign w:val="center"/>
          </w:tcPr>
          <w:p>
            <w:pPr>
              <w:spacing w:before="96"/>
              <w:rPr>
                <w:rFonts w:ascii="Arial" w:hAnsi="Arial"/>
                <w:sz w:val="16"/>
              </w:rPr>
            </w:pPr>
            <w:r>
              <w:rPr>
                <w:rFonts w:ascii="Arial" w:hAnsi="Arial"/>
                <w:sz w:val="16"/>
              </w:rPr>
              <w:t>Road tractors</w:t>
            </w:r>
          </w:p>
        </w:tc>
        <w:tc>
          <w:tcPr>
            <w:tcW w:w="586"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651</w:t>
            </w:r>
          </w:p>
        </w:tc>
        <w:tc>
          <w:tcPr>
            <w:tcW w:w="65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197</w:t>
            </w:r>
          </w:p>
        </w:tc>
        <w:tc>
          <w:tcPr>
            <w:tcW w:w="71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147</w:t>
            </w:r>
          </w:p>
        </w:tc>
        <w:tc>
          <w:tcPr>
            <w:tcW w:w="721"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204</w:t>
            </w:r>
          </w:p>
        </w:tc>
        <w:tc>
          <w:tcPr>
            <w:tcW w:w="598"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103</w:t>
            </w:r>
          </w:p>
        </w:tc>
        <w:tc>
          <w:tcPr>
            <w:tcW w:w="655"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w:t>
            </w:r>
          </w:p>
        </w:tc>
        <w:tc>
          <w:tcPr>
            <w:tcW w:w="592"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758</w:t>
            </w:r>
          </w:p>
        </w:tc>
        <w:tc>
          <w:tcPr>
            <w:tcW w:w="65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240</w:t>
            </w:r>
          </w:p>
        </w:tc>
        <w:tc>
          <w:tcPr>
            <w:tcW w:w="71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175</w:t>
            </w:r>
          </w:p>
        </w:tc>
        <w:tc>
          <w:tcPr>
            <w:tcW w:w="73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223</w:t>
            </w:r>
          </w:p>
        </w:tc>
        <w:tc>
          <w:tcPr>
            <w:tcW w:w="62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119</w:t>
            </w:r>
          </w:p>
        </w:tc>
        <w:tc>
          <w:tcPr>
            <w:tcW w:w="679"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1</w:t>
            </w:r>
          </w:p>
        </w:tc>
        <w:tc>
          <w:tcPr>
            <w:tcW w:w="684"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116.4</w:t>
            </w:r>
          </w:p>
        </w:tc>
      </w:tr>
      <w:tr>
        <w:trPr>
          <w:wAfter w:w="0" w:type="dxa"/>
        </w:trPr>
        <w:tc>
          <w:tcPr>
            <w:tcW w:w="1307" w:type="dxa"/>
            <w:tcBorders>
              <w:top w:val="none" w:sz="0" w:space="0" w:shadow="0" w:frame="0"/>
              <w:left w:val="none" w:sz="0" w:space="0" w:shadow="0" w:frame="0"/>
              <w:bottom w:val="none" w:sz="0" w:space="0" w:shadow="0" w:frame="0"/>
              <w:right w:val="single" w:sz="4" w:space="0" w:shadow="0" w:frame="0"/>
            </w:tcBorders>
            <w:vAlign w:val="center"/>
          </w:tcPr>
          <w:p>
            <w:pPr>
              <w:spacing w:before="96"/>
              <w:rPr>
                <w:rFonts w:ascii="Arial" w:hAnsi="Arial"/>
                <w:sz w:val="16"/>
              </w:rPr>
            </w:pPr>
            <w:r>
              <w:rPr>
                <w:rFonts w:ascii="Arial" w:hAnsi="Arial"/>
                <w:sz w:val="16"/>
              </w:rPr>
              <w:t>Trailers and semi-trailers</w:t>
            </w:r>
          </w:p>
        </w:tc>
        <w:tc>
          <w:tcPr>
            <w:tcW w:w="586"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5015</w:t>
            </w:r>
          </w:p>
        </w:tc>
        <w:tc>
          <w:tcPr>
            <w:tcW w:w="65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373</w:t>
            </w:r>
          </w:p>
        </w:tc>
        <w:tc>
          <w:tcPr>
            <w:tcW w:w="71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2069</w:t>
            </w:r>
          </w:p>
        </w:tc>
        <w:tc>
          <w:tcPr>
            <w:tcW w:w="721"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1483</w:t>
            </w:r>
          </w:p>
        </w:tc>
        <w:tc>
          <w:tcPr>
            <w:tcW w:w="598"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1084</w:t>
            </w:r>
          </w:p>
        </w:tc>
        <w:tc>
          <w:tcPr>
            <w:tcW w:w="655"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6</w:t>
            </w:r>
          </w:p>
        </w:tc>
        <w:tc>
          <w:tcPr>
            <w:tcW w:w="592"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2784</w:t>
            </w:r>
          </w:p>
        </w:tc>
        <w:tc>
          <w:tcPr>
            <w:tcW w:w="65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326</w:t>
            </w:r>
          </w:p>
        </w:tc>
        <w:tc>
          <w:tcPr>
            <w:tcW w:w="71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1066</w:t>
            </w:r>
          </w:p>
        </w:tc>
        <w:tc>
          <w:tcPr>
            <w:tcW w:w="73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886</w:t>
            </w:r>
          </w:p>
        </w:tc>
        <w:tc>
          <w:tcPr>
            <w:tcW w:w="62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502</w:t>
            </w:r>
          </w:p>
        </w:tc>
        <w:tc>
          <w:tcPr>
            <w:tcW w:w="679"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4</w:t>
            </w:r>
          </w:p>
        </w:tc>
        <w:tc>
          <w:tcPr>
            <w:tcW w:w="684"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55.5</w:t>
            </w:r>
          </w:p>
        </w:tc>
      </w:tr>
      <w:tr>
        <w:trPr>
          <w:wAfter w:w="0" w:type="dxa"/>
        </w:trPr>
        <w:tc>
          <w:tcPr>
            <w:tcW w:w="1307" w:type="dxa"/>
            <w:tcBorders>
              <w:top w:val="none" w:sz="0" w:space="0" w:shadow="0" w:frame="0"/>
              <w:left w:val="none" w:sz="0" w:space="0" w:shadow="0" w:frame="0"/>
              <w:bottom w:val="none" w:sz="0" w:space="0" w:shadow="0" w:frame="0"/>
              <w:right w:val="single" w:sz="4" w:space="0" w:shadow="0" w:frame="0"/>
            </w:tcBorders>
            <w:vAlign w:val="center"/>
          </w:tcPr>
          <w:p>
            <w:pPr>
              <w:spacing w:before="96"/>
              <w:rPr>
                <w:rFonts w:ascii="Arial" w:hAnsi="Arial"/>
                <w:sz w:val="16"/>
              </w:rPr>
            </w:pPr>
            <w:r>
              <w:rPr>
                <w:rFonts w:ascii="Arial" w:hAnsi="Arial"/>
                <w:sz w:val="16"/>
              </w:rPr>
              <w:t>Special purpose motor vehicles</w:t>
            </w:r>
          </w:p>
        </w:tc>
        <w:tc>
          <w:tcPr>
            <w:tcW w:w="586"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213</w:t>
            </w:r>
          </w:p>
        </w:tc>
        <w:tc>
          <w:tcPr>
            <w:tcW w:w="65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67</w:t>
            </w:r>
          </w:p>
        </w:tc>
        <w:tc>
          <w:tcPr>
            <w:tcW w:w="71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88</w:t>
            </w:r>
          </w:p>
        </w:tc>
        <w:tc>
          <w:tcPr>
            <w:tcW w:w="721"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35</w:t>
            </w:r>
          </w:p>
        </w:tc>
        <w:tc>
          <w:tcPr>
            <w:tcW w:w="598"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23</w:t>
            </w:r>
          </w:p>
        </w:tc>
        <w:tc>
          <w:tcPr>
            <w:tcW w:w="655"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w:t>
            </w:r>
          </w:p>
        </w:tc>
        <w:tc>
          <w:tcPr>
            <w:tcW w:w="592"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274</w:t>
            </w:r>
          </w:p>
        </w:tc>
        <w:tc>
          <w:tcPr>
            <w:tcW w:w="65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40</w:t>
            </w:r>
          </w:p>
        </w:tc>
        <w:tc>
          <w:tcPr>
            <w:tcW w:w="71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145</w:t>
            </w:r>
          </w:p>
        </w:tc>
        <w:tc>
          <w:tcPr>
            <w:tcW w:w="73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57</w:t>
            </w:r>
          </w:p>
        </w:tc>
        <w:tc>
          <w:tcPr>
            <w:tcW w:w="62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32</w:t>
            </w:r>
          </w:p>
        </w:tc>
        <w:tc>
          <w:tcPr>
            <w:tcW w:w="679"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w:t>
            </w:r>
          </w:p>
        </w:tc>
        <w:tc>
          <w:tcPr>
            <w:tcW w:w="684"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128.6</w:t>
            </w:r>
          </w:p>
        </w:tc>
      </w:tr>
      <w:tr>
        <w:trPr>
          <w:wAfter w:w="0" w:type="dxa"/>
        </w:trPr>
        <w:tc>
          <w:tcPr>
            <w:tcW w:w="1307" w:type="dxa"/>
            <w:tcBorders>
              <w:top w:val="none" w:sz="0" w:space="0" w:shadow="0" w:frame="0"/>
              <w:left w:val="none" w:sz="0" w:space="0" w:shadow="0" w:frame="0"/>
              <w:bottom w:val="none" w:sz="0" w:space="0" w:shadow="0" w:frame="0"/>
              <w:right w:val="single" w:sz="4" w:space="0" w:shadow="0" w:frame="0"/>
            </w:tcBorders>
            <w:vAlign w:val="center"/>
          </w:tcPr>
          <w:p>
            <w:pPr>
              <w:spacing w:before="96"/>
              <w:rPr>
                <w:rFonts w:ascii="Arial" w:hAnsi="Arial"/>
                <w:sz w:val="16"/>
              </w:rPr>
            </w:pPr>
            <w:r>
              <w:rPr>
                <w:rFonts w:ascii="Arial" w:hAnsi="Arial"/>
                <w:sz w:val="16"/>
              </w:rPr>
              <w:t>Motocultivators</w:t>
            </w:r>
          </w:p>
        </w:tc>
        <w:tc>
          <w:tcPr>
            <w:tcW w:w="586"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w:t>
            </w:r>
          </w:p>
        </w:tc>
        <w:tc>
          <w:tcPr>
            <w:tcW w:w="65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w:t>
            </w:r>
          </w:p>
        </w:tc>
        <w:tc>
          <w:tcPr>
            <w:tcW w:w="71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4</w:t>
            </w:r>
          </w:p>
        </w:tc>
        <w:tc>
          <w:tcPr>
            <w:tcW w:w="721"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3</w:t>
            </w:r>
          </w:p>
        </w:tc>
        <w:tc>
          <w:tcPr>
            <w:tcW w:w="598"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3</w:t>
            </w:r>
          </w:p>
        </w:tc>
        <w:tc>
          <w:tcPr>
            <w:tcW w:w="655"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w:t>
            </w:r>
          </w:p>
        </w:tc>
        <w:tc>
          <w:tcPr>
            <w:tcW w:w="592"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14</w:t>
            </w:r>
          </w:p>
        </w:tc>
        <w:tc>
          <w:tcPr>
            <w:tcW w:w="657" w:type="dxa"/>
            <w:tcBorders>
              <w:top w:val="none" w:sz="0" w:space="0" w:shadow="0" w:frame="0"/>
              <w:left w:val="none" w:sz="0" w:space="0" w:shadow="0" w:frame="0"/>
              <w:bottom w:val="none" w:sz="0" w:space="0" w:shadow="0" w:frame="0"/>
              <w:right w:val="none" w:sz="0" w:space="0" w:shadow="0" w:frame="0"/>
            </w:tcBorders>
            <w:vAlign w:val="bottom"/>
          </w:tcPr>
          <w:p>
            <w:pPr>
              <w:ind w:right="113"/>
              <w:rPr>
                <w:rFonts w:ascii="Arial" w:hAnsi="Arial"/>
                <w:sz w:val="16"/>
              </w:rPr>
            </w:pPr>
          </w:p>
        </w:tc>
        <w:tc>
          <w:tcPr>
            <w:tcW w:w="71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2</w:t>
            </w:r>
          </w:p>
        </w:tc>
        <w:tc>
          <w:tcPr>
            <w:tcW w:w="73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w:t>
            </w:r>
          </w:p>
        </w:tc>
        <w:tc>
          <w:tcPr>
            <w:tcW w:w="62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3</w:t>
            </w:r>
          </w:p>
        </w:tc>
        <w:tc>
          <w:tcPr>
            <w:tcW w:w="679"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w:t>
            </w:r>
          </w:p>
        </w:tc>
        <w:tc>
          <w:tcPr>
            <w:tcW w:w="684"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140.0</w:t>
            </w:r>
          </w:p>
        </w:tc>
      </w:tr>
      <w:tr>
        <w:trPr>
          <w:wAfter w:w="0" w:type="dxa"/>
        </w:trPr>
        <w:tc>
          <w:tcPr>
            <w:tcW w:w="1307" w:type="dxa"/>
            <w:tcBorders>
              <w:top w:val="none" w:sz="0" w:space="0" w:shadow="0" w:frame="0"/>
              <w:left w:val="none" w:sz="0" w:space="0" w:shadow="0" w:frame="0"/>
              <w:bottom w:val="none" w:sz="0" w:space="0" w:shadow="0" w:frame="0"/>
              <w:right w:val="single" w:sz="4" w:space="0" w:shadow="0" w:frame="0"/>
            </w:tcBorders>
            <w:vAlign w:val="center"/>
          </w:tcPr>
          <w:p>
            <w:pPr>
              <w:spacing w:before="96"/>
              <w:rPr>
                <w:rFonts w:ascii="Arial" w:hAnsi="Arial"/>
                <w:sz w:val="16"/>
              </w:rPr>
            </w:pPr>
            <w:r>
              <w:rPr>
                <w:rFonts w:ascii="Arial" w:hAnsi="Arial"/>
                <w:sz w:val="16"/>
              </w:rPr>
              <w:t>Agricultural tractors</w:t>
            </w:r>
          </w:p>
        </w:tc>
        <w:tc>
          <w:tcPr>
            <w:tcW w:w="586"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971</w:t>
            </w:r>
          </w:p>
        </w:tc>
        <w:tc>
          <w:tcPr>
            <w:tcW w:w="65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116</w:t>
            </w:r>
          </w:p>
        </w:tc>
        <w:tc>
          <w:tcPr>
            <w:tcW w:w="71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509</w:t>
            </w:r>
          </w:p>
        </w:tc>
        <w:tc>
          <w:tcPr>
            <w:tcW w:w="721"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205</w:t>
            </w:r>
          </w:p>
        </w:tc>
        <w:tc>
          <w:tcPr>
            <w:tcW w:w="598"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140</w:t>
            </w:r>
          </w:p>
        </w:tc>
        <w:tc>
          <w:tcPr>
            <w:tcW w:w="655"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1</w:t>
            </w:r>
          </w:p>
        </w:tc>
        <w:tc>
          <w:tcPr>
            <w:tcW w:w="592"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1470</w:t>
            </w:r>
          </w:p>
        </w:tc>
        <w:tc>
          <w:tcPr>
            <w:tcW w:w="65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104</w:t>
            </w:r>
          </w:p>
        </w:tc>
        <w:tc>
          <w:tcPr>
            <w:tcW w:w="71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824</w:t>
            </w:r>
          </w:p>
        </w:tc>
        <w:tc>
          <w:tcPr>
            <w:tcW w:w="73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288</w:t>
            </w:r>
          </w:p>
        </w:tc>
        <w:tc>
          <w:tcPr>
            <w:tcW w:w="62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249</w:t>
            </w:r>
          </w:p>
        </w:tc>
        <w:tc>
          <w:tcPr>
            <w:tcW w:w="679"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5</w:t>
            </w:r>
          </w:p>
        </w:tc>
        <w:tc>
          <w:tcPr>
            <w:tcW w:w="684"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151.4</w:t>
            </w:r>
          </w:p>
        </w:tc>
      </w:tr>
      <w:tr>
        <w:trPr>
          <w:wAfter w:w="0" w:type="dxa"/>
        </w:trPr>
        <w:tc>
          <w:tcPr>
            <w:tcW w:w="1307" w:type="dxa"/>
            <w:tcBorders>
              <w:top w:val="none" w:sz="0" w:space="0" w:shadow="0" w:frame="0"/>
              <w:left w:val="none" w:sz="0" w:space="0" w:shadow="0" w:frame="0"/>
              <w:bottom w:val="none" w:sz="0" w:space="0" w:shadow="0" w:frame="0"/>
              <w:right w:val="single" w:sz="4" w:space="0" w:shadow="0" w:frame="0"/>
            </w:tcBorders>
            <w:vAlign w:val="center"/>
          </w:tcPr>
          <w:p>
            <w:pPr>
              <w:spacing w:before="96"/>
              <w:rPr>
                <w:rFonts w:ascii="Arial" w:hAnsi="Arial"/>
                <w:sz w:val="16"/>
              </w:rPr>
            </w:pPr>
            <w:r>
              <w:rPr>
                <w:rFonts w:ascii="Arial" w:hAnsi="Arial"/>
                <w:sz w:val="16"/>
              </w:rPr>
              <w:t>Agricultural trailers</w:t>
            </w:r>
          </w:p>
        </w:tc>
        <w:tc>
          <w:tcPr>
            <w:tcW w:w="586"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203</w:t>
            </w:r>
          </w:p>
        </w:tc>
        <w:tc>
          <w:tcPr>
            <w:tcW w:w="65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w:t>
            </w:r>
          </w:p>
        </w:tc>
        <w:tc>
          <w:tcPr>
            <w:tcW w:w="71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139</w:t>
            </w:r>
          </w:p>
        </w:tc>
        <w:tc>
          <w:tcPr>
            <w:tcW w:w="721"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33</w:t>
            </w:r>
          </w:p>
        </w:tc>
        <w:tc>
          <w:tcPr>
            <w:tcW w:w="598"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20</w:t>
            </w:r>
          </w:p>
        </w:tc>
        <w:tc>
          <w:tcPr>
            <w:tcW w:w="655"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w:t>
            </w:r>
          </w:p>
        </w:tc>
        <w:tc>
          <w:tcPr>
            <w:tcW w:w="592"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412</w:t>
            </w:r>
          </w:p>
        </w:tc>
        <w:tc>
          <w:tcPr>
            <w:tcW w:w="657"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6</w:t>
            </w:r>
          </w:p>
        </w:tc>
        <w:tc>
          <w:tcPr>
            <w:tcW w:w="71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257</w:t>
            </w:r>
          </w:p>
        </w:tc>
        <w:tc>
          <w:tcPr>
            <w:tcW w:w="73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63</w:t>
            </w:r>
          </w:p>
        </w:tc>
        <w:tc>
          <w:tcPr>
            <w:tcW w:w="62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86</w:t>
            </w:r>
          </w:p>
        </w:tc>
        <w:tc>
          <w:tcPr>
            <w:tcW w:w="679"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w:t>
            </w:r>
          </w:p>
        </w:tc>
        <w:tc>
          <w:tcPr>
            <w:tcW w:w="684"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203.0</w:t>
            </w:r>
          </w:p>
        </w:tc>
      </w:tr>
    </w:tbl>
    <w:p>
      <w:pPr>
        <w:rPr>
          <w:rFonts w:ascii="Arial" w:hAnsi="Arial"/>
          <w:sz w:val="8"/>
        </w:rPr>
      </w:pPr>
    </w:p>
    <w:p>
      <w:pPr>
        <w:rPr>
          <w:rFonts w:ascii="Arial" w:hAnsi="Arial"/>
          <w:sz w:val="10"/>
        </w:rPr>
      </w:pPr>
    </w:p>
    <w:p>
      <w:pPr>
        <w:rPr>
          <w:rFonts w:ascii="Arial" w:hAnsi="Arial"/>
          <w:b w:val="1"/>
          <w:sz w:val="14"/>
          <w:u w:val="single"/>
        </w:rPr>
      </w:pPr>
      <w:r>
        <w:rPr>
          <w:rFonts w:ascii="Arial" w:hAnsi="Arial"/>
          <w:sz w:val="14"/>
        </w:rPr>
        <w:t>Source: Ministry of the Interior of the Republic of Serbia.</w:t>
      </w:r>
    </w:p>
    <w:p>
      <w:pPr>
        <w:rPr>
          <w:rFonts w:ascii="CTimesRoman" w:hAnsi="CTimesRoman"/>
          <w:sz w:val="20"/>
        </w:rPr>
      </w:pPr>
    </w:p>
    <w:p>
      <w:pPr>
        <w:rPr>
          <w:rFonts w:ascii="CTimesRoman" w:hAnsi="CTimesRoman"/>
          <w:sz w:val="20"/>
        </w:rPr>
      </w:pPr>
    </w:p>
    <w:p>
      <w:pPr>
        <w:tabs>
          <w:tab w:val="left" w:pos="3969" w:leader="none"/>
        </w:tabs>
        <w:spacing w:after="40"/>
        <w:jc w:val="center"/>
        <w:rPr>
          <w:rFonts w:ascii="Arial" w:hAnsi="Arial"/>
          <w:b w:val="1"/>
          <w:sz w:val="20"/>
          <w:vertAlign w:val="superscript"/>
        </w:rPr>
      </w:pPr>
      <w:r>
        <w:rPr>
          <w:rFonts w:ascii="Arial" w:hAnsi="Arial"/>
          <w:b w:val="1"/>
          <w:sz w:val="20"/>
        </w:rPr>
        <w:t xml:space="preserve">2. </w:t>
      </w:r>
      <w:r>
        <w:rPr>
          <w:rFonts w:ascii="Arial" w:hAnsi="Arial"/>
          <w:b w:val="1"/>
          <w:sz w:val="20"/>
        </w:rPr>
        <w:t>Number of injury road accidents</w:t>
      </w:r>
      <w:r>
        <w:rPr>
          <w:rFonts w:ascii="Arial" w:hAnsi="Arial"/>
          <w:b w:val="1"/>
          <w:sz w:val="20"/>
          <w:vertAlign w:val="superscript"/>
        </w:rPr>
        <w:t>1)</w:t>
      </w:r>
    </w:p>
    <w:tbl>
      <w:tblPr>
        <w:tblStyle w:val="T2"/>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left w:w="28" w:type="dxa"/>
          <w:bottom w:w="0" w:type="dxa"/>
          <w:right w:w="28" w:type="dxa"/>
        </w:tblCellMar>
      </w:tblPr>
      <w:tblGrid/>
      <w:tr>
        <w:trPr>
          <w:wAfter w:w="0" w:type="dxa"/>
        </w:trPr>
        <w:tc>
          <w:tcPr>
            <w:tcW w:w="1371" w:type="dxa"/>
            <w:vMerge w:val="restart"/>
            <w:tcBorders>
              <w:top w:val="single" w:sz="4" w:space="0" w:shadow="0" w:frame="0"/>
              <w:left w:val="none" w:sz="0" w:space="0" w:shadow="0" w:frame="0"/>
              <w:bottom w:val="single" w:sz="4" w:space="0" w:shadow="0" w:frame="0"/>
              <w:right w:val="single" w:sz="4" w:space="0" w:shadow="0" w:frame="0"/>
            </w:tcBorders>
          </w:tcPr>
          <w:p>
            <w:pPr>
              <w:spacing w:before="120" w:after="120"/>
              <w:rPr>
                <w:rFonts w:ascii="CTimesRoman" w:hAnsi="CTimesRoman"/>
                <w:sz w:val="16"/>
              </w:rPr>
            </w:pPr>
          </w:p>
        </w:tc>
        <w:tc>
          <w:tcPr>
            <w:tcW w:w="2657" w:type="dxa"/>
            <w:gridSpan w:val="4"/>
            <w:tcBorders>
              <w:top w:val="single" w:sz="4" w:space="0" w:shadow="0" w:frame="0"/>
              <w:left w:val="single" w:sz="4" w:space="0" w:shadow="0" w:frame="0"/>
              <w:right w:val="single" w:sz="4" w:space="0" w:shadow="0" w:frame="0"/>
            </w:tcBorders>
            <w:vAlign w:val="center"/>
          </w:tcPr>
          <w:p>
            <w:pPr>
              <w:tabs>
                <w:tab w:val="left" w:pos="3969" w:leader="none"/>
              </w:tabs>
              <w:spacing w:before="120" w:after="120"/>
              <w:ind w:left="-57" w:right="-57"/>
              <w:jc w:val="center"/>
              <w:rPr>
                <w:rFonts w:ascii="Arial" w:hAnsi="Arial"/>
                <w:sz w:val="16"/>
              </w:rPr>
            </w:pPr>
            <w:r>
              <w:rPr>
                <w:rFonts w:ascii="Arial" w:hAnsi="Arial"/>
                <w:sz w:val="16"/>
              </w:rPr>
              <w:t xml:space="preserve">Injury accidents </w:t>
            </w:r>
          </w:p>
        </w:tc>
        <w:tc>
          <w:tcPr>
            <w:tcW w:w="2889" w:type="dxa"/>
            <w:gridSpan w:val="3"/>
            <w:tcBorders>
              <w:top w:val="single" w:sz="4" w:space="0" w:shadow="0" w:frame="0"/>
              <w:left w:val="single" w:sz="4" w:space="0" w:shadow="0" w:frame="0"/>
              <w:right w:val="single" w:sz="4" w:space="0" w:shadow="0" w:frame="0"/>
            </w:tcBorders>
          </w:tcPr>
          <w:p>
            <w:pPr>
              <w:tabs>
                <w:tab w:val="left" w:pos="3969" w:leader="none"/>
              </w:tabs>
              <w:spacing w:before="120" w:after="120"/>
              <w:ind w:left="-57" w:right="-57"/>
              <w:jc w:val="center"/>
              <w:rPr>
                <w:rFonts w:ascii="Arial" w:hAnsi="Arial"/>
                <w:sz w:val="16"/>
              </w:rPr>
            </w:pPr>
            <w:r>
              <w:rPr>
                <w:rFonts w:ascii="Arial" w:hAnsi="Arial"/>
                <w:sz w:val="16"/>
              </w:rPr>
              <w:t>Within built-up areas</w:t>
            </w:r>
          </w:p>
        </w:tc>
        <w:tc>
          <w:tcPr>
            <w:tcW w:w="3001" w:type="dxa"/>
            <w:gridSpan w:val="3"/>
            <w:tcBorders>
              <w:top w:val="single" w:sz="4" w:space="0" w:shadow="0" w:frame="0"/>
              <w:left w:val="single" w:sz="4" w:space="0" w:shadow="0" w:frame="0"/>
              <w:right w:val="none" w:sz="0" w:space="0" w:shadow="0" w:frame="0"/>
            </w:tcBorders>
          </w:tcPr>
          <w:p>
            <w:pPr>
              <w:tabs>
                <w:tab w:val="left" w:pos="3969" w:leader="none"/>
              </w:tabs>
              <w:spacing w:before="120" w:after="120"/>
              <w:ind w:left="-57" w:right="-57"/>
              <w:jc w:val="center"/>
              <w:rPr>
                <w:rFonts w:ascii="Arial" w:hAnsi="Arial"/>
                <w:sz w:val="16"/>
              </w:rPr>
            </w:pPr>
            <w:r>
              <w:rPr>
                <w:rFonts w:ascii="Arial" w:hAnsi="Arial"/>
                <w:sz w:val="16"/>
              </w:rPr>
              <w:t>Outside built-up areas</w:t>
            </w:r>
          </w:p>
        </w:tc>
      </w:tr>
      <w:tr>
        <w:trPr>
          <w:wAfter w:w="0" w:type="dxa"/>
        </w:trPr>
        <w:tc>
          <w:tcPr>
            <w:tcW w:w="1371" w:type="dxa"/>
            <w:vMerge w:val="continue"/>
            <w:tcBorders>
              <w:top w:val="none" w:sz="0" w:space="0" w:shadow="0" w:frame="0"/>
              <w:left w:val="none" w:sz="0" w:space="0" w:shadow="0" w:frame="0"/>
              <w:bottom w:val="single" w:sz="4" w:space="0" w:shadow="0" w:frame="0"/>
              <w:right w:val="single" w:sz="4" w:space="0" w:shadow="0" w:frame="0"/>
            </w:tcBorders>
          </w:tcPr>
          <w:p>
            <w:pPr>
              <w:spacing w:before="40" w:after="40"/>
              <w:rPr>
                <w:rFonts w:ascii="CTimesRoman" w:hAnsi="CTimesRoman"/>
                <w:sz w:val="16"/>
              </w:rPr>
            </w:pPr>
          </w:p>
        </w:tc>
        <w:tc>
          <w:tcPr>
            <w:tcW w:w="839" w:type="dxa"/>
            <w:tcBorders>
              <w:left w:val="single" w:sz="4" w:space="0" w:shadow="0" w:frame="0"/>
              <w:bottom w:val="single" w:sz="4" w:space="0" w:shadow="0" w:frame="0"/>
              <w:right w:val="single" w:sz="4" w:space="0" w:shadow="0" w:frame="0"/>
            </w:tcBorders>
            <w:vAlign w:val="center"/>
          </w:tcPr>
          <w:p>
            <w:pPr>
              <w:tabs>
                <w:tab w:val="left" w:pos="3969" w:leader="none"/>
              </w:tabs>
              <w:spacing w:before="40" w:after="40"/>
              <w:ind w:left="-57" w:right="-57"/>
              <w:jc w:val="center"/>
              <w:rPr>
                <w:rFonts w:ascii="Arial" w:hAnsi="Arial"/>
                <w:sz w:val="16"/>
              </w:rPr>
            </w:pPr>
            <w:r>
              <w:rPr>
                <w:rFonts w:ascii="Arial" w:hAnsi="Arial"/>
                <w:sz w:val="16"/>
              </w:rPr>
              <w:t>Total</w:t>
            </w:r>
          </w:p>
        </w:tc>
        <w:tc>
          <w:tcPr>
            <w:tcW w:w="866" w:type="dxa"/>
            <w:gridSpan w:val="2"/>
            <w:tcBorders>
              <w:left w:val="single" w:sz="4" w:space="0" w:shadow="0" w:frame="0"/>
              <w:bottom w:val="single" w:sz="4" w:space="0" w:shadow="0" w:frame="0"/>
              <w:right w:val="single" w:sz="4" w:space="0" w:shadow="0" w:frame="0"/>
            </w:tcBorders>
          </w:tcPr>
          <w:p>
            <w:pPr>
              <w:tabs>
                <w:tab w:val="left" w:pos="3969" w:leader="none"/>
              </w:tabs>
              <w:spacing w:before="40" w:after="40"/>
              <w:ind w:left="-57" w:right="-57"/>
              <w:jc w:val="center"/>
              <w:rPr>
                <w:rFonts w:ascii="CTimesRoman" w:hAnsi="CTimesRoman"/>
                <w:sz w:val="16"/>
              </w:rPr>
            </w:pPr>
            <w:r>
              <w:rPr>
                <w:rFonts w:ascii="Arial" w:hAnsi="Arial"/>
                <w:sz w:val="16"/>
              </w:rPr>
              <w:t>With persons killed</w:t>
            </w:r>
          </w:p>
        </w:tc>
        <w:tc>
          <w:tcPr>
            <w:tcW w:w="952" w:type="dxa"/>
            <w:tcBorders>
              <w:left w:val="single" w:sz="4" w:space="0" w:shadow="0" w:frame="0"/>
              <w:bottom w:val="single" w:sz="4" w:space="0" w:shadow="0" w:frame="0"/>
              <w:right w:val="single" w:sz="4" w:space="0" w:shadow="0" w:frame="0"/>
            </w:tcBorders>
          </w:tcPr>
          <w:p>
            <w:pPr>
              <w:tabs>
                <w:tab w:val="left" w:pos="3969" w:leader="none"/>
              </w:tabs>
              <w:spacing w:before="40" w:after="40"/>
              <w:ind w:left="-57" w:right="-57"/>
              <w:jc w:val="center"/>
              <w:rPr>
                <w:rFonts w:ascii="CTimesRoman" w:hAnsi="CTimesRoman"/>
                <w:sz w:val="16"/>
              </w:rPr>
            </w:pPr>
            <w:r>
              <w:rPr>
                <w:rFonts w:ascii="Arial" w:hAnsi="Arial"/>
                <w:sz w:val="16"/>
              </w:rPr>
              <w:t xml:space="preserve">With   persons injured</w:t>
            </w:r>
          </w:p>
        </w:tc>
        <w:tc>
          <w:tcPr>
            <w:tcW w:w="900" w:type="dxa"/>
            <w:tcBorders>
              <w:left w:val="single" w:sz="4" w:space="0" w:shadow="0" w:frame="0"/>
              <w:bottom w:val="single" w:sz="4" w:space="0" w:shadow="0" w:frame="0"/>
            </w:tcBorders>
            <w:vAlign w:val="center"/>
          </w:tcPr>
          <w:p>
            <w:pPr>
              <w:tabs>
                <w:tab w:val="left" w:pos="3969" w:leader="none"/>
              </w:tabs>
              <w:spacing w:before="40" w:after="40"/>
              <w:ind w:left="-57" w:right="-57"/>
              <w:jc w:val="center"/>
              <w:rPr>
                <w:rFonts w:ascii="Arial" w:hAnsi="Arial"/>
                <w:sz w:val="16"/>
              </w:rPr>
            </w:pPr>
            <w:r>
              <w:rPr>
                <w:rFonts w:ascii="Arial" w:hAnsi="Arial"/>
                <w:sz w:val="16"/>
              </w:rPr>
              <w:t>All</w:t>
            </w:r>
          </w:p>
        </w:tc>
        <w:tc>
          <w:tcPr>
            <w:tcW w:w="994" w:type="dxa"/>
            <w:tcBorders>
              <w:bottom w:val="single" w:sz="4" w:space="0" w:shadow="0" w:frame="0"/>
            </w:tcBorders>
          </w:tcPr>
          <w:p>
            <w:pPr>
              <w:tabs>
                <w:tab w:val="left" w:pos="3969" w:leader="none"/>
              </w:tabs>
              <w:spacing w:before="40" w:after="40"/>
              <w:ind w:left="-57" w:right="-57"/>
              <w:jc w:val="center"/>
              <w:rPr>
                <w:rFonts w:ascii="CTimesRoman" w:hAnsi="CTimesRoman"/>
                <w:sz w:val="16"/>
              </w:rPr>
            </w:pPr>
            <w:r>
              <w:rPr>
                <w:rFonts w:ascii="Arial" w:hAnsi="Arial"/>
                <w:sz w:val="16"/>
              </w:rPr>
              <w:t xml:space="preserve">With    persons   killed</w:t>
            </w:r>
          </w:p>
        </w:tc>
        <w:tc>
          <w:tcPr>
            <w:tcW w:w="995" w:type="dxa"/>
            <w:tcBorders>
              <w:bottom w:val="single" w:sz="4" w:space="0" w:shadow="0" w:frame="0"/>
              <w:right w:val="single" w:sz="4" w:space="0" w:shadow="0" w:frame="0"/>
            </w:tcBorders>
          </w:tcPr>
          <w:p>
            <w:pPr>
              <w:tabs>
                <w:tab w:val="left" w:pos="3969" w:leader="none"/>
              </w:tabs>
              <w:spacing w:before="40" w:after="40"/>
              <w:ind w:left="-57" w:right="-57"/>
              <w:jc w:val="center"/>
              <w:rPr>
                <w:rFonts w:ascii="CTimesRoman" w:hAnsi="CTimesRoman"/>
                <w:sz w:val="16"/>
              </w:rPr>
            </w:pPr>
            <w:r>
              <w:rPr>
                <w:rFonts w:ascii="Arial" w:hAnsi="Arial"/>
                <w:sz w:val="16"/>
              </w:rPr>
              <w:t xml:space="preserve">With    persons injured</w:t>
            </w:r>
          </w:p>
        </w:tc>
        <w:tc>
          <w:tcPr>
            <w:tcW w:w="989" w:type="dxa"/>
            <w:tcBorders>
              <w:left w:val="single" w:sz="4" w:space="0" w:shadow="0" w:frame="0"/>
              <w:bottom w:val="single" w:sz="4" w:space="0" w:shadow="0" w:frame="0"/>
            </w:tcBorders>
            <w:vAlign w:val="center"/>
          </w:tcPr>
          <w:p>
            <w:pPr>
              <w:tabs>
                <w:tab w:val="left" w:pos="3969" w:leader="none"/>
              </w:tabs>
              <w:spacing w:before="40" w:after="40"/>
              <w:ind w:left="-57" w:right="-57"/>
              <w:jc w:val="center"/>
              <w:rPr>
                <w:rFonts w:ascii="Arial" w:hAnsi="Arial"/>
                <w:sz w:val="16"/>
              </w:rPr>
            </w:pPr>
            <w:r>
              <w:rPr>
                <w:rFonts w:ascii="Arial" w:hAnsi="Arial"/>
                <w:sz w:val="16"/>
              </w:rPr>
              <w:t>All</w:t>
            </w:r>
          </w:p>
        </w:tc>
        <w:tc>
          <w:tcPr>
            <w:tcW w:w="992" w:type="dxa"/>
            <w:tcBorders>
              <w:bottom w:val="single" w:sz="4" w:space="0" w:shadow="0" w:frame="0"/>
            </w:tcBorders>
          </w:tcPr>
          <w:p>
            <w:pPr>
              <w:tabs>
                <w:tab w:val="left" w:pos="3969" w:leader="none"/>
              </w:tabs>
              <w:spacing w:before="40" w:after="40"/>
              <w:ind w:left="-57" w:right="-57"/>
              <w:jc w:val="center"/>
              <w:rPr>
                <w:rFonts w:ascii="CTimesRoman" w:hAnsi="CTimesRoman"/>
                <w:sz w:val="16"/>
              </w:rPr>
            </w:pPr>
            <w:r>
              <w:rPr>
                <w:rFonts w:ascii="Arial" w:hAnsi="Arial"/>
                <w:sz w:val="16"/>
              </w:rPr>
              <w:t xml:space="preserve">With    persons    killed</w:t>
            </w:r>
          </w:p>
        </w:tc>
        <w:tc>
          <w:tcPr>
            <w:tcW w:w="1020" w:type="dxa"/>
            <w:tcBorders>
              <w:bottom w:val="single" w:sz="4" w:space="0" w:shadow="0" w:frame="0"/>
              <w:right w:val="none" w:sz="0" w:space="0" w:shadow="0" w:frame="0"/>
            </w:tcBorders>
          </w:tcPr>
          <w:p>
            <w:pPr>
              <w:tabs>
                <w:tab w:val="left" w:pos="3969" w:leader="none"/>
              </w:tabs>
              <w:spacing w:before="40" w:after="40"/>
              <w:ind w:left="-57" w:right="-57"/>
              <w:jc w:val="center"/>
              <w:rPr>
                <w:rFonts w:ascii="CTimesRoman" w:hAnsi="CTimesRoman"/>
                <w:sz w:val="16"/>
              </w:rPr>
            </w:pPr>
            <w:r>
              <w:rPr>
                <w:rFonts w:ascii="Arial" w:hAnsi="Arial"/>
                <w:sz w:val="16"/>
              </w:rPr>
              <w:t xml:space="preserve">With     persons injured</w:t>
            </w:r>
          </w:p>
        </w:tc>
      </w:tr>
      <w:tr>
        <w:trPr>
          <w:wAfter w:w="0" w:type="dxa"/>
          <w:trHeight w:hRule="atLeast" w:val="270"/>
        </w:trPr>
        <w:tc>
          <w:tcPr>
            <w:tcW w:w="1371" w:type="dxa"/>
            <w:tcBorders>
              <w:top w:val="single" w:sz="4" w:space="0" w:shadow="0" w:frame="0"/>
              <w:left w:val="none" w:sz="0" w:space="0" w:shadow="0" w:frame="0"/>
              <w:bottom w:val="none" w:sz="0" w:space="0" w:shadow="0" w:frame="0"/>
              <w:right w:val="single" w:sz="4" w:space="0" w:shadow="0" w:frame="0"/>
            </w:tcBorders>
            <w:vAlign w:val="bottom"/>
          </w:tcPr>
          <w:p>
            <w:pPr>
              <w:spacing w:before="40" w:after="40"/>
              <w:ind w:right="-57"/>
              <w:rPr>
                <w:rFonts w:ascii="Arial" w:hAnsi="Arial"/>
                <w:sz w:val="16"/>
              </w:rPr>
            </w:pPr>
            <w:r>
              <w:rPr>
                <w:rFonts w:ascii="Arial" w:hAnsi="Arial"/>
                <w:sz w:val="16"/>
              </w:rPr>
              <w:t>IV quarter 2011</w:t>
            </w:r>
          </w:p>
        </w:tc>
        <w:tc>
          <w:tcPr>
            <w:tcW w:w="846" w:type="dxa"/>
            <w:gridSpan w:val="2"/>
            <w:tcBorders>
              <w:top w:val="single" w:sz="4"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3400</w:t>
            </w:r>
          </w:p>
        </w:tc>
        <w:tc>
          <w:tcPr>
            <w:tcW w:w="859" w:type="dxa"/>
            <w:tcBorders>
              <w:top w:val="single" w:sz="4"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179</w:t>
            </w:r>
          </w:p>
        </w:tc>
        <w:tc>
          <w:tcPr>
            <w:tcW w:w="952" w:type="dxa"/>
            <w:tcBorders>
              <w:top w:val="single" w:sz="4"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3221</w:t>
            </w:r>
          </w:p>
        </w:tc>
        <w:tc>
          <w:tcPr>
            <w:tcW w:w="900" w:type="dxa"/>
            <w:tcBorders>
              <w:top w:val="single" w:sz="4"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2949</w:t>
            </w:r>
          </w:p>
        </w:tc>
        <w:tc>
          <w:tcPr>
            <w:tcW w:w="994" w:type="dxa"/>
            <w:tcBorders>
              <w:top w:val="single" w:sz="4"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126</w:t>
            </w:r>
          </w:p>
        </w:tc>
        <w:tc>
          <w:tcPr>
            <w:tcW w:w="995" w:type="dxa"/>
            <w:tcBorders>
              <w:top w:val="single" w:sz="4"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2823</w:t>
            </w:r>
          </w:p>
        </w:tc>
        <w:tc>
          <w:tcPr>
            <w:tcW w:w="989" w:type="dxa"/>
            <w:tcBorders>
              <w:top w:val="single" w:sz="4"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451</w:t>
            </w:r>
          </w:p>
        </w:tc>
        <w:tc>
          <w:tcPr>
            <w:tcW w:w="992" w:type="dxa"/>
            <w:tcBorders>
              <w:top w:val="single" w:sz="4"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53</w:t>
            </w:r>
          </w:p>
        </w:tc>
        <w:tc>
          <w:tcPr>
            <w:tcW w:w="1020" w:type="dxa"/>
            <w:tcBorders>
              <w:top w:val="single" w:sz="4"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398</w:t>
            </w:r>
          </w:p>
        </w:tc>
      </w:tr>
      <w:tr>
        <w:trPr>
          <w:wAfter w:w="0" w:type="dxa"/>
          <w:trHeight w:hRule="atLeast" w:val="270"/>
        </w:trPr>
        <w:tc>
          <w:tcPr>
            <w:tcW w:w="1371" w:type="dxa"/>
            <w:tcBorders>
              <w:top w:val="none" w:sz="0" w:space="0" w:shadow="0" w:frame="0"/>
              <w:left w:val="none" w:sz="0" w:space="0" w:shadow="0" w:frame="0"/>
              <w:bottom w:val="none" w:sz="0" w:space="0" w:shadow="0" w:frame="0"/>
              <w:right w:val="single" w:sz="4" w:space="0" w:shadow="0" w:frame="0"/>
            </w:tcBorders>
            <w:vAlign w:val="bottom"/>
          </w:tcPr>
          <w:p>
            <w:pPr>
              <w:spacing w:before="40" w:after="40"/>
              <w:ind w:right="-57"/>
              <w:rPr>
                <w:rFonts w:ascii="Arial" w:hAnsi="Arial"/>
                <w:sz w:val="16"/>
              </w:rPr>
            </w:pPr>
            <w:r>
              <w:rPr>
                <w:rFonts w:ascii="Arial" w:hAnsi="Arial"/>
                <w:sz w:val="16"/>
              </w:rPr>
              <w:t>IV quarter 2012</w:t>
            </w:r>
          </w:p>
        </w:tc>
        <w:tc>
          <w:tcPr>
            <w:tcW w:w="846"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3371</w:t>
            </w:r>
          </w:p>
        </w:tc>
        <w:tc>
          <w:tcPr>
            <w:tcW w:w="85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139</w:t>
            </w:r>
          </w:p>
        </w:tc>
        <w:tc>
          <w:tcPr>
            <w:tcW w:w="952"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3232</w:t>
            </w:r>
          </w:p>
        </w:tc>
        <w:tc>
          <w:tcPr>
            <w:tcW w:w="9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2964</w:t>
            </w:r>
          </w:p>
        </w:tc>
        <w:tc>
          <w:tcPr>
            <w:tcW w:w="99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100</w:t>
            </w:r>
          </w:p>
        </w:tc>
        <w:tc>
          <w:tcPr>
            <w:tcW w:w="995"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2864</w:t>
            </w:r>
          </w:p>
        </w:tc>
        <w:tc>
          <w:tcPr>
            <w:tcW w:w="989"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407</w:t>
            </w:r>
          </w:p>
        </w:tc>
        <w:tc>
          <w:tcPr>
            <w:tcW w:w="99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39</w:t>
            </w:r>
          </w:p>
        </w:tc>
        <w:tc>
          <w:tcPr>
            <w:tcW w:w="102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368</w:t>
            </w:r>
          </w:p>
        </w:tc>
      </w:tr>
      <w:tr>
        <w:trPr>
          <w:wAfter w:w="0" w:type="dxa"/>
          <w:trHeight w:hRule="atLeast" w:val="205"/>
        </w:trPr>
        <w:tc>
          <w:tcPr>
            <w:tcW w:w="1371" w:type="dxa"/>
            <w:tcBorders>
              <w:top w:val="none" w:sz="0" w:space="0" w:shadow="0" w:frame="0"/>
              <w:left w:val="none" w:sz="0" w:space="0" w:shadow="0" w:frame="0"/>
              <w:bottom w:val="none" w:sz="0" w:space="0" w:shadow="0" w:frame="0"/>
              <w:right w:val="single" w:sz="4" w:space="0" w:shadow="0" w:frame="0"/>
            </w:tcBorders>
            <w:vAlign w:val="bottom"/>
          </w:tcPr>
          <w:p>
            <w:pPr>
              <w:ind w:right="-57"/>
              <w:rPr>
                <w:rFonts w:ascii="Arial" w:hAnsi="Arial"/>
                <w:sz w:val="16"/>
                <w:u w:val="single"/>
              </w:rPr>
            </w:pPr>
            <w:r>
              <w:rPr>
                <w:rFonts w:ascii="Arial" w:hAnsi="Arial"/>
                <w:sz w:val="16"/>
                <w:u w:val="single"/>
              </w:rPr>
              <w:t>IV quarter 2012</w:t>
            </w:r>
          </w:p>
          <w:p>
            <w:pPr>
              <w:ind w:right="-57"/>
              <w:rPr>
                <w:rFonts w:ascii="Arial" w:hAnsi="Arial"/>
                <w:sz w:val="16"/>
              </w:rPr>
            </w:pPr>
            <w:r>
              <w:rPr>
                <w:rFonts w:ascii="Arial" w:hAnsi="Arial"/>
                <w:sz w:val="16"/>
              </w:rPr>
              <w:t>IV quarter 2011</w:t>
            </w:r>
          </w:p>
        </w:tc>
        <w:tc>
          <w:tcPr>
            <w:tcW w:w="846"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99.1</w:t>
            </w:r>
          </w:p>
        </w:tc>
        <w:tc>
          <w:tcPr>
            <w:tcW w:w="859"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77.7</w:t>
            </w:r>
          </w:p>
        </w:tc>
        <w:tc>
          <w:tcPr>
            <w:tcW w:w="952"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100.3</w:t>
            </w:r>
          </w:p>
        </w:tc>
        <w:tc>
          <w:tcPr>
            <w:tcW w:w="9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100.5</w:t>
            </w:r>
          </w:p>
        </w:tc>
        <w:tc>
          <w:tcPr>
            <w:tcW w:w="994"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79.4</w:t>
            </w:r>
          </w:p>
        </w:tc>
        <w:tc>
          <w:tcPr>
            <w:tcW w:w="995"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101.5</w:t>
            </w:r>
          </w:p>
        </w:tc>
        <w:tc>
          <w:tcPr>
            <w:tcW w:w="989"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90.2</w:t>
            </w:r>
          </w:p>
        </w:tc>
        <w:tc>
          <w:tcPr>
            <w:tcW w:w="99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73.6</w:t>
            </w:r>
          </w:p>
        </w:tc>
        <w:tc>
          <w:tcPr>
            <w:tcW w:w="102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92.5</w:t>
            </w:r>
          </w:p>
        </w:tc>
      </w:tr>
    </w:tbl>
    <w:p>
      <w:pPr>
        <w:rPr>
          <w:rFonts w:ascii="Arial" w:hAnsi="Arial"/>
          <w:sz w:val="8"/>
        </w:rPr>
      </w:pPr>
    </w:p>
    <w:p>
      <w:pPr>
        <w:rPr>
          <w:rFonts w:ascii="Arial" w:hAnsi="Arial"/>
          <w:sz w:val="14"/>
        </w:rPr>
      </w:pPr>
    </w:p>
    <w:p>
      <w:pPr>
        <w:rPr>
          <w:rFonts w:ascii="Arial" w:hAnsi="Arial"/>
          <w:b w:val="1"/>
          <w:sz w:val="14"/>
          <w:u w:val="single"/>
        </w:rPr>
      </w:pPr>
      <w:r>
        <w:rPr>
          <w:rFonts w:ascii="Arial" w:hAnsi="Arial"/>
          <w:sz w:val="14"/>
        </w:rPr>
        <w:t>Source: Ministry of the Interior of the Republic of Serbia.</w:t>
      </w:r>
    </w:p>
    <w:p>
      <w:pPr>
        <w:rPr>
          <w:rFonts w:ascii="Arial" w:hAnsi="Arial"/>
          <w:sz w:val="14"/>
        </w:rPr>
      </w:pPr>
      <w:r>
        <w:rPr>
          <w:rFonts w:ascii="Arial" w:hAnsi="Arial"/>
          <w:sz w:val="14"/>
          <w:vertAlign w:val="superscript"/>
        </w:rPr>
        <w:t>1)</w:t>
      </w:r>
      <w:r>
        <w:rPr>
          <w:rFonts w:ascii="Arial" w:hAnsi="Arial"/>
          <w:sz w:val="14"/>
        </w:rPr>
        <w:t xml:space="preserve">  Without data for Kosovo and Metohia.</w:t>
      </w:r>
    </w:p>
    <w:p>
      <w:pPr>
        <w:tabs>
          <w:tab w:val="left" w:pos="3969" w:leader="none"/>
        </w:tabs>
        <w:jc w:val="center"/>
        <w:rPr>
          <w:rFonts w:ascii="Arial" w:hAnsi="Arial"/>
          <w:b w:val="1"/>
        </w:rPr>
      </w:pPr>
    </w:p>
    <w:p>
      <w:pPr>
        <w:tabs>
          <w:tab w:val="left" w:pos="3969" w:leader="none"/>
        </w:tabs>
        <w:jc w:val="center"/>
        <w:rPr>
          <w:rFonts w:ascii="Arial" w:hAnsi="Arial"/>
          <w:b w:val="1"/>
          <w:sz w:val="22"/>
        </w:rPr>
      </w:pPr>
    </w:p>
    <w:p>
      <w:pPr>
        <w:tabs>
          <w:tab w:val="left" w:pos="3969" w:leader="none"/>
        </w:tabs>
        <w:jc w:val="center"/>
        <w:rPr>
          <w:rFonts w:ascii="Helvetica" w:hAnsi="Helvetica"/>
          <w:b w:val="1"/>
          <w:sz w:val="20"/>
        </w:rPr>
      </w:pPr>
      <w:r>
        <w:rPr>
          <w:rFonts w:ascii="Arial" w:hAnsi="Arial"/>
          <w:b w:val="1"/>
          <w:sz w:val="20"/>
        </w:rPr>
        <w:t xml:space="preserve">3. </w:t>
      </w:r>
      <w:r>
        <w:rPr>
          <w:rFonts w:ascii="Arial" w:hAnsi="Arial"/>
          <w:b w:val="1"/>
          <w:sz w:val="20"/>
        </w:rPr>
        <w:t>Number of casualties</w:t>
      </w:r>
      <w:r>
        <w:rPr>
          <w:rFonts w:ascii="Arial" w:hAnsi="Arial"/>
          <w:b w:val="1"/>
          <w:sz w:val="20"/>
          <w:vertAlign w:val="superscript"/>
        </w:rPr>
        <w:t>1)</w:t>
      </w:r>
    </w:p>
    <w:p>
      <w:pPr>
        <w:tabs>
          <w:tab w:val="left" w:pos="3969" w:leader="none"/>
        </w:tabs>
        <w:jc w:val="center"/>
        <w:rPr>
          <w:rFonts w:ascii="Helvetica" w:hAnsi="Helvetica"/>
          <w:b w:val="1"/>
          <w:sz w:val="8"/>
        </w:rPr>
      </w:pPr>
    </w:p>
    <w:tbl>
      <w:tblPr>
        <w:tblStyle w:val="T2"/>
        <w:tblW w:w="0" w:type="auto"/>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left w:w="28" w:type="dxa"/>
          <w:bottom w:w="0" w:type="dxa"/>
          <w:right w:w="28" w:type="dxa"/>
        </w:tblCellMar>
      </w:tblPr>
      <w:tblGrid/>
      <w:tr>
        <w:trPr>
          <w:wAfter w:w="0" w:type="dxa"/>
        </w:trPr>
        <w:tc>
          <w:tcPr>
            <w:tcW w:w="1416" w:type="dxa"/>
            <w:vMerge w:val="restart"/>
            <w:tcBorders>
              <w:top w:val="single" w:sz="4" w:space="0" w:shadow="0" w:frame="0"/>
              <w:left w:val="none" w:sz="0" w:space="0" w:shadow="0" w:frame="0"/>
              <w:right w:val="single" w:sz="4" w:space="0" w:shadow="0" w:frame="0"/>
            </w:tcBorders>
          </w:tcPr>
          <w:p>
            <w:pPr>
              <w:spacing w:before="60" w:after="60"/>
              <w:rPr>
                <w:rFonts w:ascii="CTimesRoman" w:hAnsi="CTimesRoman"/>
              </w:rPr>
            </w:pPr>
          </w:p>
        </w:tc>
        <w:tc>
          <w:tcPr>
            <w:tcW w:w="2622" w:type="dxa"/>
            <w:gridSpan w:val="4"/>
            <w:tcBorders>
              <w:top w:val="single" w:sz="4" w:space="0" w:shadow="0" w:frame="0"/>
              <w:left w:val="single" w:sz="4" w:space="0" w:shadow="0" w:frame="0"/>
            </w:tcBorders>
            <w:vAlign w:val="center"/>
          </w:tcPr>
          <w:p>
            <w:pPr>
              <w:tabs>
                <w:tab w:val="left" w:pos="3969" w:leader="none"/>
              </w:tabs>
              <w:spacing w:before="60" w:after="60"/>
              <w:ind w:left="-57" w:right="-57"/>
              <w:jc w:val="center"/>
              <w:rPr>
                <w:rFonts w:ascii="Arial" w:hAnsi="Arial"/>
                <w:sz w:val="16"/>
              </w:rPr>
            </w:pPr>
            <w:r>
              <w:rPr>
                <w:rFonts w:ascii="Arial" w:hAnsi="Arial"/>
                <w:sz w:val="16"/>
              </w:rPr>
              <w:t>Casualties</w:t>
            </w:r>
          </w:p>
        </w:tc>
        <w:tc>
          <w:tcPr>
            <w:tcW w:w="2874" w:type="dxa"/>
            <w:gridSpan w:val="3"/>
            <w:tcBorders>
              <w:top w:val="single" w:sz="4" w:space="0" w:shadow="0" w:frame="0"/>
            </w:tcBorders>
          </w:tcPr>
          <w:p>
            <w:pPr>
              <w:tabs>
                <w:tab w:val="left" w:pos="3969" w:leader="none"/>
              </w:tabs>
              <w:spacing w:before="60" w:after="60"/>
              <w:ind w:left="-57" w:right="-57"/>
              <w:jc w:val="center"/>
              <w:rPr>
                <w:rFonts w:ascii="Arial" w:hAnsi="Arial"/>
                <w:sz w:val="16"/>
              </w:rPr>
            </w:pPr>
            <w:r>
              <w:rPr>
                <w:rFonts w:ascii="Arial" w:hAnsi="Arial"/>
                <w:sz w:val="16"/>
              </w:rPr>
              <w:t>Within built-up areas</w:t>
            </w:r>
          </w:p>
        </w:tc>
        <w:tc>
          <w:tcPr>
            <w:tcW w:w="2977" w:type="dxa"/>
            <w:gridSpan w:val="3"/>
            <w:tcBorders>
              <w:top w:val="single" w:sz="4" w:space="0" w:shadow="0" w:frame="0"/>
              <w:right w:val="none" w:sz="0" w:space="0" w:shadow="0" w:frame="0"/>
            </w:tcBorders>
          </w:tcPr>
          <w:p>
            <w:pPr>
              <w:tabs>
                <w:tab w:val="left" w:pos="3969" w:leader="none"/>
              </w:tabs>
              <w:spacing w:before="60" w:after="60"/>
              <w:ind w:left="-57" w:right="-57"/>
              <w:jc w:val="center"/>
              <w:rPr>
                <w:rFonts w:ascii="Arial" w:hAnsi="Arial"/>
                <w:sz w:val="16"/>
              </w:rPr>
            </w:pPr>
            <w:r>
              <w:rPr>
                <w:rFonts w:ascii="Arial" w:hAnsi="Arial"/>
                <w:sz w:val="16"/>
              </w:rPr>
              <w:t>Outside built-up areas</w:t>
            </w:r>
          </w:p>
        </w:tc>
      </w:tr>
      <w:tr>
        <w:trPr>
          <w:wAfter w:w="0" w:type="dxa"/>
        </w:trPr>
        <w:tc>
          <w:tcPr>
            <w:tcW w:w="2977" w:type="nil"/>
            <w:vMerge w:val="continue"/>
            <w:tcBorders>
              <w:left w:val="none" w:sz="0" w:space="0" w:shadow="0" w:frame="0"/>
              <w:bottom w:val="single" w:sz="4" w:space="0" w:shadow="0" w:frame="0"/>
              <w:right w:val="single" w:sz="4" w:space="0" w:shadow="0" w:frame="0"/>
            </w:tcBorders>
          </w:tcPr>
          <w:p>
            <w:pPr>
              <w:spacing w:before="60" w:after="60"/>
              <w:rPr>
                <w:rFonts w:ascii="CTimesRoman" w:hAnsi="CTimesRoman"/>
                <w:sz w:val="16"/>
              </w:rPr>
            </w:pPr>
          </w:p>
        </w:tc>
        <w:tc>
          <w:tcPr>
            <w:tcW w:w="807" w:type="dxa"/>
            <w:tcBorders>
              <w:left w:val="single" w:sz="4" w:space="0" w:shadow="0" w:frame="0"/>
              <w:bottom w:val="single" w:sz="4" w:space="0" w:shadow="0" w:frame="0"/>
            </w:tcBorders>
          </w:tcPr>
          <w:p>
            <w:pPr>
              <w:spacing w:before="60" w:after="60"/>
              <w:ind w:left="-57" w:right="-57"/>
              <w:jc w:val="center"/>
              <w:rPr>
                <w:rFonts w:ascii="Arial" w:hAnsi="Arial"/>
                <w:sz w:val="16"/>
              </w:rPr>
            </w:pPr>
            <w:r>
              <w:rPr>
                <w:rFonts w:ascii="Arial" w:hAnsi="Arial"/>
                <w:sz w:val="16"/>
              </w:rPr>
              <w:t>Total</w:t>
            </w:r>
          </w:p>
        </w:tc>
        <w:tc>
          <w:tcPr>
            <w:tcW w:w="840" w:type="dxa"/>
            <w:gridSpan w:val="2"/>
            <w:tcBorders>
              <w:left w:val="single" w:sz="4" w:space="0" w:shadow="0" w:frame="0"/>
              <w:bottom w:val="single" w:sz="4" w:space="0" w:shadow="0" w:frame="0"/>
            </w:tcBorders>
          </w:tcPr>
          <w:p>
            <w:pPr>
              <w:tabs>
                <w:tab w:val="left" w:pos="3969" w:leader="none"/>
              </w:tabs>
              <w:spacing w:before="60" w:after="60"/>
              <w:ind w:left="-57" w:right="-57"/>
              <w:jc w:val="center"/>
              <w:rPr>
                <w:rFonts w:ascii="Arial" w:hAnsi="Arial"/>
                <w:sz w:val="16"/>
              </w:rPr>
            </w:pPr>
            <w:r>
              <w:rPr>
                <w:rFonts w:ascii="CTimesRoman" w:hAnsi="CTimesRoman"/>
                <w:sz w:val="16"/>
              </w:rPr>
              <w:t xml:space="preserve"> </w:t>
            </w:r>
            <w:r>
              <w:rPr>
                <w:rFonts w:ascii="Arial" w:hAnsi="Arial"/>
                <w:sz w:val="16"/>
              </w:rPr>
              <w:t>killed</w:t>
            </w:r>
          </w:p>
        </w:tc>
        <w:tc>
          <w:tcPr>
            <w:tcW w:w="975" w:type="dxa"/>
            <w:tcBorders>
              <w:left w:val="single" w:sz="4" w:space="0" w:shadow="0" w:frame="0"/>
              <w:bottom w:val="single" w:sz="4" w:space="0" w:shadow="0" w:frame="0"/>
            </w:tcBorders>
          </w:tcPr>
          <w:p>
            <w:pPr>
              <w:tabs>
                <w:tab w:val="left" w:pos="3969" w:leader="none"/>
              </w:tabs>
              <w:spacing w:before="60" w:after="60"/>
              <w:ind w:left="-57" w:right="-57"/>
              <w:jc w:val="center"/>
              <w:rPr>
                <w:rFonts w:ascii="Arial" w:hAnsi="Arial"/>
                <w:sz w:val="16"/>
              </w:rPr>
            </w:pPr>
            <w:r>
              <w:rPr>
                <w:rFonts w:ascii="Arial" w:hAnsi="Arial"/>
                <w:sz w:val="16"/>
              </w:rPr>
              <w:t>injured</w:t>
            </w:r>
          </w:p>
        </w:tc>
        <w:tc>
          <w:tcPr>
            <w:tcW w:w="890" w:type="dxa"/>
            <w:tcBorders>
              <w:bottom w:val="single" w:sz="4" w:space="0" w:shadow="0" w:frame="0"/>
            </w:tcBorders>
          </w:tcPr>
          <w:p>
            <w:pPr>
              <w:tabs>
                <w:tab w:val="left" w:pos="3969" w:leader="none"/>
              </w:tabs>
              <w:spacing w:before="60" w:after="60"/>
              <w:ind w:left="-57" w:right="-57"/>
              <w:jc w:val="center"/>
              <w:rPr>
                <w:rFonts w:ascii="Arial" w:hAnsi="Arial"/>
                <w:sz w:val="16"/>
              </w:rPr>
            </w:pPr>
            <w:r>
              <w:rPr>
                <w:rFonts w:ascii="Arial" w:hAnsi="Arial"/>
                <w:sz w:val="16"/>
              </w:rPr>
              <w:t>All</w:t>
            </w:r>
          </w:p>
        </w:tc>
        <w:tc>
          <w:tcPr>
            <w:tcW w:w="992" w:type="dxa"/>
            <w:tcBorders>
              <w:bottom w:val="single" w:sz="4" w:space="0" w:shadow="0" w:frame="0"/>
            </w:tcBorders>
          </w:tcPr>
          <w:p>
            <w:pPr>
              <w:tabs>
                <w:tab w:val="left" w:pos="3969" w:leader="none"/>
              </w:tabs>
              <w:spacing w:before="60" w:after="60"/>
              <w:ind w:left="-57" w:right="-57"/>
              <w:jc w:val="center"/>
              <w:rPr>
                <w:rFonts w:ascii="Arial" w:hAnsi="Arial"/>
                <w:sz w:val="16"/>
              </w:rPr>
            </w:pPr>
            <w:r>
              <w:rPr>
                <w:rFonts w:ascii="CTimesRoman" w:hAnsi="CTimesRoman"/>
                <w:sz w:val="16"/>
              </w:rPr>
              <w:t xml:space="preserve"> </w:t>
            </w:r>
            <w:r>
              <w:rPr>
                <w:rFonts w:ascii="Arial" w:hAnsi="Arial"/>
                <w:sz w:val="16"/>
              </w:rPr>
              <w:t>killed</w:t>
            </w:r>
          </w:p>
        </w:tc>
        <w:tc>
          <w:tcPr>
            <w:tcW w:w="992" w:type="dxa"/>
            <w:tcBorders>
              <w:bottom w:val="single" w:sz="4" w:space="0" w:shadow="0" w:frame="0"/>
            </w:tcBorders>
          </w:tcPr>
          <w:p>
            <w:pPr>
              <w:tabs>
                <w:tab w:val="left" w:pos="3969" w:leader="none"/>
              </w:tabs>
              <w:spacing w:before="60" w:after="60"/>
              <w:ind w:left="-57" w:right="-57"/>
              <w:jc w:val="center"/>
              <w:rPr>
                <w:rFonts w:ascii="Arial" w:hAnsi="Arial"/>
                <w:sz w:val="16"/>
              </w:rPr>
            </w:pPr>
            <w:r>
              <w:rPr>
                <w:rFonts w:ascii="Arial" w:hAnsi="Arial"/>
                <w:sz w:val="16"/>
              </w:rPr>
              <w:t>injured</w:t>
            </w:r>
          </w:p>
        </w:tc>
        <w:tc>
          <w:tcPr>
            <w:tcW w:w="993" w:type="dxa"/>
            <w:tcBorders>
              <w:bottom w:val="single" w:sz="4" w:space="0" w:shadow="0" w:frame="0"/>
            </w:tcBorders>
          </w:tcPr>
          <w:p>
            <w:pPr>
              <w:tabs>
                <w:tab w:val="left" w:pos="3969" w:leader="none"/>
              </w:tabs>
              <w:spacing w:before="60" w:after="60"/>
              <w:ind w:left="-57" w:right="-57"/>
              <w:jc w:val="center"/>
              <w:rPr>
                <w:rFonts w:ascii="Arial" w:hAnsi="Arial"/>
                <w:sz w:val="16"/>
              </w:rPr>
            </w:pPr>
            <w:r>
              <w:rPr>
                <w:rFonts w:ascii="Arial" w:hAnsi="Arial"/>
                <w:sz w:val="16"/>
              </w:rPr>
              <w:t>All</w:t>
            </w:r>
          </w:p>
        </w:tc>
        <w:tc>
          <w:tcPr>
            <w:tcW w:w="992" w:type="dxa"/>
            <w:tcBorders>
              <w:bottom w:val="single" w:sz="4" w:space="0" w:shadow="0" w:frame="0"/>
            </w:tcBorders>
          </w:tcPr>
          <w:p>
            <w:pPr>
              <w:tabs>
                <w:tab w:val="left" w:pos="3969" w:leader="none"/>
              </w:tabs>
              <w:spacing w:before="60" w:after="60"/>
              <w:ind w:left="-57" w:right="-57"/>
              <w:jc w:val="center"/>
              <w:rPr>
                <w:rFonts w:ascii="Arial" w:hAnsi="Arial"/>
                <w:sz w:val="16"/>
              </w:rPr>
            </w:pPr>
            <w:r>
              <w:rPr>
                <w:rFonts w:ascii="Arial" w:hAnsi="Arial"/>
                <w:sz w:val="16"/>
              </w:rPr>
              <w:t>killed</w:t>
            </w:r>
          </w:p>
        </w:tc>
        <w:tc>
          <w:tcPr>
            <w:tcW w:w="992" w:type="dxa"/>
            <w:tcBorders>
              <w:bottom w:val="single" w:sz="4" w:space="0" w:shadow="0" w:frame="0"/>
              <w:right w:val="none" w:sz="0" w:space="0" w:shadow="0" w:frame="0"/>
            </w:tcBorders>
          </w:tcPr>
          <w:p>
            <w:pPr>
              <w:tabs>
                <w:tab w:val="left" w:pos="3969" w:leader="none"/>
              </w:tabs>
              <w:spacing w:before="60" w:after="60"/>
              <w:ind w:left="-57" w:right="-57"/>
              <w:jc w:val="center"/>
              <w:rPr>
                <w:rFonts w:ascii="Arial" w:hAnsi="Arial"/>
                <w:sz w:val="16"/>
              </w:rPr>
            </w:pPr>
            <w:r>
              <w:rPr>
                <w:rFonts w:ascii="Arial" w:hAnsi="Arial"/>
                <w:sz w:val="16"/>
              </w:rPr>
              <w:t>injured</w:t>
            </w:r>
          </w:p>
        </w:tc>
      </w:tr>
      <w:tr>
        <w:trPr>
          <w:wAfter w:w="0" w:type="dxa"/>
          <w:trHeight w:hRule="atLeast" w:val="270"/>
        </w:trPr>
        <w:tc>
          <w:tcPr>
            <w:tcW w:w="1416" w:type="dxa"/>
            <w:tcBorders>
              <w:top w:val="single" w:sz="4" w:space="0" w:shadow="0" w:frame="0"/>
              <w:left w:val="none" w:sz="0" w:space="0" w:shadow="0" w:frame="0"/>
              <w:bottom w:val="none" w:sz="0" w:space="0" w:shadow="0" w:frame="0"/>
              <w:right w:val="single" w:sz="4" w:space="0" w:shadow="0" w:frame="0"/>
            </w:tcBorders>
            <w:vAlign w:val="bottom"/>
          </w:tcPr>
          <w:p>
            <w:pPr>
              <w:spacing w:before="40" w:after="40"/>
              <w:ind w:right="-57"/>
              <w:rPr>
                <w:rFonts w:ascii="Arial" w:hAnsi="Arial"/>
                <w:sz w:val="16"/>
              </w:rPr>
            </w:pPr>
            <w:r>
              <w:rPr>
                <w:rFonts w:ascii="Arial" w:hAnsi="Arial"/>
                <w:sz w:val="16"/>
              </w:rPr>
              <w:t>IV quarter 2011</w:t>
            </w:r>
          </w:p>
        </w:tc>
        <w:tc>
          <w:tcPr>
            <w:tcW w:w="807" w:type="dxa"/>
            <w:tcBorders>
              <w:top w:val="single" w:sz="4"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4876</w:t>
            </w:r>
          </w:p>
        </w:tc>
        <w:tc>
          <w:tcPr>
            <w:tcW w:w="825" w:type="dxa"/>
            <w:tcBorders>
              <w:top w:val="single" w:sz="4"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205</w:t>
            </w:r>
          </w:p>
        </w:tc>
        <w:tc>
          <w:tcPr>
            <w:tcW w:w="990" w:type="dxa"/>
            <w:gridSpan w:val="2"/>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4671</w:t>
            </w:r>
          </w:p>
        </w:tc>
        <w:tc>
          <w:tcPr>
            <w:tcW w:w="890" w:type="dxa"/>
            <w:tcBorders>
              <w:top w:val="single" w:sz="4"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4099</w:t>
            </w:r>
          </w:p>
        </w:tc>
        <w:tc>
          <w:tcPr>
            <w:tcW w:w="992" w:type="dxa"/>
            <w:tcBorders>
              <w:top w:val="single" w:sz="4"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142</w:t>
            </w:r>
          </w:p>
        </w:tc>
        <w:tc>
          <w:tcPr>
            <w:tcW w:w="992" w:type="dxa"/>
            <w:tcBorders>
              <w:top w:val="single" w:sz="4"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3957</w:t>
            </w:r>
          </w:p>
        </w:tc>
        <w:tc>
          <w:tcPr>
            <w:tcW w:w="993" w:type="dxa"/>
            <w:tcBorders>
              <w:top w:val="single" w:sz="4"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777</w:t>
            </w:r>
          </w:p>
        </w:tc>
        <w:tc>
          <w:tcPr>
            <w:tcW w:w="992" w:type="dxa"/>
            <w:tcBorders>
              <w:top w:val="single" w:sz="4"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63</w:t>
            </w:r>
          </w:p>
        </w:tc>
        <w:tc>
          <w:tcPr>
            <w:tcW w:w="992" w:type="dxa"/>
            <w:tcBorders>
              <w:top w:val="single" w:sz="4"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714</w:t>
            </w:r>
          </w:p>
        </w:tc>
      </w:tr>
      <w:tr>
        <w:trPr>
          <w:wAfter w:w="0" w:type="dxa"/>
          <w:trHeight w:hRule="atLeast" w:val="270"/>
        </w:trPr>
        <w:tc>
          <w:tcPr>
            <w:tcW w:w="1416" w:type="dxa"/>
            <w:tcBorders>
              <w:top w:val="none" w:sz="0" w:space="0" w:shadow="0" w:frame="0"/>
              <w:left w:val="none" w:sz="0" w:space="0" w:shadow="0" w:frame="0"/>
              <w:bottom w:val="none" w:sz="0" w:space="0" w:shadow="0" w:frame="0"/>
              <w:right w:val="single" w:sz="4" w:space="0" w:shadow="0" w:frame="0"/>
            </w:tcBorders>
            <w:vAlign w:val="bottom"/>
          </w:tcPr>
          <w:p>
            <w:pPr>
              <w:spacing w:before="40" w:after="40"/>
              <w:ind w:right="-57"/>
              <w:rPr>
                <w:rFonts w:ascii="Arial" w:hAnsi="Arial"/>
                <w:sz w:val="16"/>
              </w:rPr>
            </w:pPr>
            <w:r>
              <w:rPr>
                <w:rFonts w:ascii="Arial" w:hAnsi="Arial"/>
                <w:sz w:val="16"/>
              </w:rPr>
              <w:t>IV quarter 2012</w:t>
            </w:r>
          </w:p>
        </w:tc>
        <w:tc>
          <w:tcPr>
            <w:tcW w:w="807"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4737</w:t>
            </w:r>
          </w:p>
        </w:tc>
        <w:tc>
          <w:tcPr>
            <w:tcW w:w="82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148</w:t>
            </w:r>
          </w:p>
        </w:tc>
        <w:tc>
          <w:tcPr>
            <w:tcW w:w="990" w:type="dxa"/>
            <w:gridSpan w:val="2"/>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4589</w:t>
            </w:r>
          </w:p>
        </w:tc>
        <w:tc>
          <w:tcPr>
            <w:tcW w:w="89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4052</w:t>
            </w:r>
          </w:p>
        </w:tc>
        <w:tc>
          <w:tcPr>
            <w:tcW w:w="99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107</w:t>
            </w:r>
          </w:p>
        </w:tc>
        <w:tc>
          <w:tcPr>
            <w:tcW w:w="99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3945</w:t>
            </w:r>
          </w:p>
        </w:tc>
        <w:tc>
          <w:tcPr>
            <w:tcW w:w="993"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685</w:t>
            </w:r>
          </w:p>
        </w:tc>
        <w:tc>
          <w:tcPr>
            <w:tcW w:w="99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41</w:t>
            </w:r>
          </w:p>
        </w:tc>
        <w:tc>
          <w:tcPr>
            <w:tcW w:w="99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644</w:t>
            </w:r>
          </w:p>
        </w:tc>
      </w:tr>
      <w:tr>
        <w:trPr>
          <w:wAfter w:w="0" w:type="dxa"/>
        </w:trPr>
        <w:tc>
          <w:tcPr>
            <w:tcW w:w="1416" w:type="dxa"/>
            <w:tcBorders>
              <w:top w:val="none" w:sz="0" w:space="0" w:shadow="0" w:frame="0"/>
              <w:left w:val="none" w:sz="0" w:space="0" w:shadow="0" w:frame="0"/>
              <w:bottom w:val="none" w:sz="0" w:space="0" w:shadow="0" w:frame="0"/>
              <w:right w:val="single" w:sz="4" w:space="0" w:shadow="0" w:frame="0"/>
            </w:tcBorders>
            <w:vAlign w:val="bottom"/>
          </w:tcPr>
          <w:p>
            <w:pPr>
              <w:ind w:right="-57"/>
              <w:rPr>
                <w:rFonts w:ascii="Arial" w:hAnsi="Arial"/>
                <w:sz w:val="16"/>
                <w:u w:val="single"/>
              </w:rPr>
            </w:pPr>
            <w:r>
              <w:rPr>
                <w:rFonts w:ascii="Arial" w:hAnsi="Arial"/>
                <w:sz w:val="16"/>
                <w:u w:val="single"/>
              </w:rPr>
              <w:t>IV quarter 2012</w:t>
            </w:r>
          </w:p>
          <w:p>
            <w:pPr>
              <w:ind w:right="-57"/>
              <w:rPr>
                <w:rFonts w:ascii="Arial" w:hAnsi="Arial"/>
                <w:sz w:val="16"/>
              </w:rPr>
            </w:pPr>
            <w:r>
              <w:rPr>
                <w:rFonts w:ascii="Arial" w:hAnsi="Arial"/>
                <w:sz w:val="16"/>
              </w:rPr>
              <w:t>IV quarter 2011</w:t>
            </w:r>
          </w:p>
        </w:tc>
        <w:tc>
          <w:tcPr>
            <w:tcW w:w="807"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97.1</w:t>
            </w:r>
          </w:p>
        </w:tc>
        <w:tc>
          <w:tcPr>
            <w:tcW w:w="825"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72.2</w:t>
            </w:r>
          </w:p>
        </w:tc>
        <w:tc>
          <w:tcPr>
            <w:tcW w:w="990" w:type="dxa"/>
            <w:gridSpan w:val="2"/>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98.2</w:t>
            </w:r>
          </w:p>
        </w:tc>
        <w:tc>
          <w:tcPr>
            <w:tcW w:w="89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98.9</w:t>
            </w:r>
          </w:p>
        </w:tc>
        <w:tc>
          <w:tcPr>
            <w:tcW w:w="99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75.4</w:t>
            </w:r>
          </w:p>
        </w:tc>
        <w:tc>
          <w:tcPr>
            <w:tcW w:w="99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99.7</w:t>
            </w:r>
          </w:p>
        </w:tc>
        <w:tc>
          <w:tcPr>
            <w:tcW w:w="993"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88.2</w:t>
            </w:r>
          </w:p>
        </w:tc>
        <w:tc>
          <w:tcPr>
            <w:tcW w:w="99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65.1</w:t>
            </w:r>
          </w:p>
        </w:tc>
        <w:tc>
          <w:tcPr>
            <w:tcW w:w="99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90.2</w:t>
            </w:r>
          </w:p>
        </w:tc>
      </w:tr>
    </w:tbl>
    <w:p>
      <w:pPr>
        <w:rPr>
          <w:rFonts w:ascii="Arial" w:hAnsi="Arial"/>
          <w:sz w:val="8"/>
        </w:rPr>
      </w:pPr>
    </w:p>
    <w:p>
      <w:pPr>
        <w:rPr>
          <w:rFonts w:ascii="Arial" w:hAnsi="Arial"/>
          <w:sz w:val="14"/>
        </w:rPr>
      </w:pPr>
    </w:p>
    <w:p>
      <w:pPr>
        <w:rPr>
          <w:rFonts w:ascii="Arial" w:hAnsi="Arial"/>
          <w:b w:val="1"/>
          <w:sz w:val="14"/>
          <w:u w:val="single"/>
        </w:rPr>
      </w:pPr>
      <w:r>
        <w:rPr>
          <w:rFonts w:ascii="Arial" w:hAnsi="Arial"/>
          <w:sz w:val="14"/>
        </w:rPr>
        <w:t>Source: Ministry of the Interior of the Republic of Serbia.</w:t>
      </w:r>
    </w:p>
    <w:p>
      <w:pPr>
        <w:rPr>
          <w:rFonts w:ascii="Arial" w:hAnsi="Arial"/>
          <w:sz w:val="14"/>
        </w:rPr>
      </w:pPr>
      <w:r>
        <w:rPr>
          <w:rFonts w:ascii="Arial" w:hAnsi="Arial"/>
          <w:sz w:val="14"/>
          <w:vertAlign w:val="superscript"/>
        </w:rPr>
        <w:t>1)</w:t>
      </w:r>
      <w:r>
        <w:rPr>
          <w:rFonts w:ascii="Arial" w:hAnsi="Arial"/>
          <w:sz w:val="14"/>
        </w:rPr>
        <w:t xml:space="preserve">  Without data for Kosovo and Metohia.</w:t>
      </w:r>
    </w:p>
    <w:p>
      <w:pPr>
        <w:jc w:val="both"/>
        <w:rPr>
          <w:sz w:val="20"/>
        </w:rPr>
      </w:pPr>
    </w:p>
    <w:p>
      <w:pPr>
        <w:pStyle w:val="P13"/>
        <w:ind w:firstLine="342" w:left="24"/>
        <w:jc w:val="center"/>
        <w:rPr>
          <w:sz w:val="18"/>
        </w:rPr>
      </w:pPr>
    </w:p>
    <w:p>
      <w:pPr>
        <w:pStyle w:val="P13"/>
        <w:ind w:firstLine="342" w:left="24"/>
        <w:jc w:val="center"/>
        <w:rPr>
          <w:sz w:val="18"/>
        </w:rPr>
      </w:pPr>
    </w:p>
    <w:p>
      <w:pPr>
        <w:pStyle w:val="P13"/>
        <w:rPr>
          <w:sz w:val="20"/>
        </w:rPr>
      </w:pPr>
    </w:p>
    <w:p>
      <w:pPr>
        <w:pStyle w:val="P13"/>
        <w:rPr>
          <w:sz w:val="20"/>
        </w:rPr>
      </w:pPr>
    </w:p>
    <w:p>
      <w:pPr>
        <w:ind w:left="198" w:right="29"/>
        <w:jc w:val="center"/>
        <w:rPr>
          <w:rFonts w:ascii="Arial" w:hAnsi="Arial"/>
          <w:sz w:val="8"/>
        </w:rPr>
      </w:pPr>
    </w:p>
    <w:p>
      <w:pPr>
        <w:ind w:left="198" w:right="29"/>
        <w:jc w:val="center"/>
        <w:rPr>
          <w:rFonts w:ascii="Arial" w:hAnsi="Arial"/>
          <w:sz w:val="18"/>
        </w:rPr>
      </w:pPr>
      <w:r>
        <w:rPr>
          <w:rFonts w:ascii="Arial" w:hAnsi="Arial"/>
          <w:sz w:val="18"/>
        </w:rPr>
        <w:t xml:space="preserve">Published and printed by: Statistical Office of the Republic of Serbia, Milana Rakica 5, Belgrade </w:t>
      </w:r>
    </w:p>
    <w:p>
      <w:pPr>
        <w:ind w:left="198" w:right="29"/>
        <w:jc w:val="center"/>
        <w:rPr>
          <w:rFonts w:ascii="Arial" w:hAnsi="Arial"/>
          <w:sz w:val="18"/>
        </w:rPr>
      </w:pPr>
      <w:r>
        <w:rPr>
          <w:rFonts w:ascii="Arial" w:hAnsi="Arial"/>
          <w:sz w:val="18"/>
        </w:rPr>
        <w:t xml:space="preserve">Phone: +381 11 2412922 ● Fax: +381 11 2411260 ● www.stat.gov.rs </w:t>
      </w:r>
    </w:p>
    <w:p>
      <w:pPr>
        <w:ind w:left="198" w:right="29"/>
        <w:jc w:val="center"/>
        <w:rPr>
          <w:sz w:val="18"/>
        </w:rPr>
      </w:pPr>
      <w:r>
        <w:rPr>
          <w:rFonts w:ascii="Arial" w:hAnsi="Arial"/>
          <w:sz w:val="18"/>
        </w:rPr>
        <w:t>Responsible: Dragan Vukmirovic, PhD, Director</w:t>
        <w:br w:type="textWrapping"/>
        <w:t>Circulation: 20 • Issued quarterly</w:t>
      </w:r>
    </w:p>
    <w:sectPr>
      <w:footerReference xmlns:r="http://schemas.openxmlformats.org/officeDocument/2006/relationships" w:type="default" r:id="RelFtr1"/>
      <w:footerReference xmlns:r="http://schemas.openxmlformats.org/officeDocument/2006/relationships" w:type="even" r:id="RelFtr2"/>
      <w:footnotePr>
        <w:pos w:val="beneathText"/>
      </w:footnotePr>
      <w:type w:val="continuous"/>
      <w:pgSz w:w="11909" w:h="16834" w:code="0"/>
      <w:pgMar w:left="1021" w:right="1021" w:top="1021" w:bottom="1021"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framePr w:wrap="around" w:vAnchor="text" w:hAnchor="margin" w:x="-16" w:y="1"/>
      <w:rPr>
        <w:rStyle w:val="C4"/>
      </w:rPr>
    </w:pPr>
    <w:r>
      <w:fldChar w:fldCharType="begin"/>
    </w:r>
    <w:r>
      <w:rPr>
        <w:rStyle w:val="C4"/>
      </w:rPr>
      <w:instrText xml:space="preserve">PAGE  </w:instrText>
    </w:r>
    <w:r>
      <w:rPr>
        <w:rStyle w:val="C4"/>
      </w:rPr>
      <w:fldChar w:fldCharType="separate"/>
    </w:r>
    <w:r>
      <w:rPr>
        <w:rStyle w:val="C4"/>
      </w:rPr>
      <w:t>#</w:t>
    </w:r>
    <w:r>
      <w:rPr>
        <w:rStyle w:val="C4"/>
      </w:rPr>
      <w:fldChar w:fldCharType="end"/>
    </w:r>
  </w:p>
  <w:p>
    <w:pPr>
      <w:pStyle w:val="P16"/>
      <w:pBdr>
        <w:top w:val="single" w:sz="4" w:space="0" w:shadow="0" w:frame="0"/>
      </w:pBdr>
      <w:tabs>
        <w:tab w:val="clear" w:pos="8640" w:leader="none"/>
        <w:tab w:val="right" w:pos="9720" w:leader="none"/>
        <w:tab w:val="right" w:pos="10206" w:leader="none"/>
      </w:tabs>
      <w:ind w:firstLine="360" w:right="360"/>
      <w:rPr>
        <w:rFonts w:ascii="Arial" w:hAnsi="Arial"/>
        <w:sz w:val="16"/>
      </w:rPr>
    </w:pPr>
    <w:r>
      <w:rPr>
        <w:rStyle w:val="C4"/>
        <w:rFonts w:ascii="Arial" w:hAnsi="Arial"/>
        <w:sz w:val="16"/>
      </w:rPr>
      <w:tab/>
      <w:t xml:space="preserve">   </w:t>
      <w:tab/>
      <w:t>СРБ 000 ПМ</w:t>
    </w:r>
    <w:r>
      <w:rPr>
        <w:rFonts w:ascii="Arial" w:hAnsi="Arial"/>
        <w:sz w:val="16"/>
      </w:rPr>
      <w:t>10 000006</w:t>
    </w:r>
    <w:r>
      <w:rPr>
        <w:rStyle w:val="C4"/>
        <w:rFonts w:ascii="Arial" w:hAnsi="Arial"/>
        <w:sz w:val="16"/>
      </w:rPr>
      <w:tab/>
    </w:r>
  </w:p>
  <w:p>
    <w:pPr>
      <w:pStyle w:val="P16"/>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framePr w:wrap="around" w:vAnchor="text" w:hAnchor="margin" w:x="-16" w:y="1"/>
      <w:rPr>
        <w:rStyle w:val="C4"/>
        <w:rFonts w:ascii="Arial" w:hAnsi="Arial"/>
        <w:sz w:val="16"/>
      </w:rPr>
    </w:pPr>
    <w:r>
      <w:fldChar w:fldCharType="begin"/>
    </w:r>
    <w:r>
      <w:rPr>
        <w:rStyle w:val="C4"/>
        <w:rFonts w:ascii="Arial" w:hAnsi="Arial"/>
        <w:sz w:val="16"/>
      </w:rPr>
      <w:instrText xml:space="preserve">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p>
    <w:pPr>
      <w:pStyle w:val="P16"/>
      <w:pBdr>
        <w:top w:val="single" w:sz="4" w:space="0" w:shadow="0" w:frame="0"/>
      </w:pBdr>
      <w:jc w:val="right"/>
      <w:rPr>
        <w:rFonts w:ascii="Arial" w:hAnsi="Arial"/>
        <w:sz w:val="16"/>
      </w:rPr>
    </w:pPr>
    <w:r>
      <w:rPr>
        <w:rFonts w:ascii="Arial" w:hAnsi="Arial"/>
        <w:sz w:val="16"/>
      </w:rPr>
      <w:t>SERB054 SV22 080313</w:t>
    </w:r>
  </w:p>
  <w:p>
    <w:pPr>
      <w:pStyle w:val="P16"/>
      <w:pBdr>
        <w:top w:val="single" w:sz="4" w:space="0" w:shadow="0" w:frame="0"/>
      </w:pBdr>
      <w:jc w:val="right"/>
      <w:rPr>
        <w:rFonts w:ascii="Arial" w:hAnsi="Arial"/>
        <w:sz w:val="2"/>
      </w:rPr>
    </w:pPr>
  </w:p>
</w:ftr>
</file>

<file path=word/numbering.xml><?xml version="1.0" encoding="utf-8"?>
<w:numbering xmlns:w="http://schemas.openxmlformats.org/wordprocessingml/2006/main">
  <w:abstractNum w:abstractNumId="0">
    <w:nsid w:val="21AD2CF4"/>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
    <w:nsid w:val="4115036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
    <w:nsid w:val="6B666B95"/>
    <w:multiLevelType w:val="hybridMultilevel"/>
    <w:lvl w:ilvl="0" w:tplc="1EF09AAC">
      <w:start w:val="0"/>
      <w:numFmt w:val="bullet"/>
      <w:suff w:val="tab"/>
      <w:lvlText w:val="-"/>
      <w:lvlJc w:val="left"/>
      <w:pPr>
        <w:ind w:hanging="360" w:left="720"/>
        <w:tabs>
          <w:tab w:val="left" w:pos="720" w:leader="none"/>
        </w:tabs>
      </w:pPr>
      <w:rPr>
        <w:rFonts w:ascii="Times New Roman" w:hAnsi="Times New Roman"/>
      </w:rPr>
    </w:lvl>
    <w:lvl w:ilvl="1" w:tplc="45113403">
      <w:start w:val="1"/>
      <w:numFmt w:val="bullet"/>
      <w:suff w:val="tab"/>
      <w:lvlText w:val="o"/>
      <w:lvlJc w:val="left"/>
      <w:pPr>
        <w:ind w:hanging="360" w:left="1440"/>
        <w:tabs>
          <w:tab w:val="left" w:pos="1440" w:leader="none"/>
        </w:tabs>
      </w:pPr>
      <w:rPr>
        <w:rFonts w:ascii="Courier New" w:hAnsi="Courier New"/>
      </w:rPr>
    </w:lvl>
    <w:lvl w:ilvl="2" w:tplc="0FD67710">
      <w:start w:val="1"/>
      <w:numFmt w:val="bullet"/>
      <w:suff w:val="tab"/>
      <w:lvlText w:val=""/>
      <w:lvlJc w:val="left"/>
      <w:pPr>
        <w:ind w:hanging="360" w:left="2160"/>
        <w:tabs>
          <w:tab w:val="left" w:pos="2160" w:leader="none"/>
        </w:tabs>
      </w:pPr>
      <w:rPr>
        <w:rFonts w:ascii="Wingdings" w:hAnsi="Wingdings"/>
      </w:rPr>
    </w:lvl>
    <w:lvl w:ilvl="3" w:tplc="0A314AEB">
      <w:start w:val="1"/>
      <w:numFmt w:val="bullet"/>
      <w:suff w:val="tab"/>
      <w:lvlText w:val=""/>
      <w:lvlJc w:val="left"/>
      <w:pPr>
        <w:ind w:hanging="360" w:left="2880"/>
        <w:tabs>
          <w:tab w:val="left" w:pos="2880" w:leader="none"/>
        </w:tabs>
      </w:pPr>
      <w:rPr>
        <w:rFonts w:ascii="Symbol" w:hAnsi="Symbol"/>
      </w:rPr>
    </w:lvl>
    <w:lvl w:ilvl="4" w:tplc="1F8541BA">
      <w:start w:val="1"/>
      <w:numFmt w:val="bullet"/>
      <w:suff w:val="tab"/>
      <w:lvlText w:val="o"/>
      <w:lvlJc w:val="left"/>
      <w:pPr>
        <w:ind w:hanging="360" w:left="3600"/>
        <w:tabs>
          <w:tab w:val="left" w:pos="3600" w:leader="none"/>
        </w:tabs>
      </w:pPr>
      <w:rPr>
        <w:rFonts w:ascii="Courier New" w:hAnsi="Courier New"/>
      </w:rPr>
    </w:lvl>
    <w:lvl w:ilvl="5" w:tplc="438F819E">
      <w:start w:val="1"/>
      <w:numFmt w:val="bullet"/>
      <w:suff w:val="tab"/>
      <w:lvlText w:val=""/>
      <w:lvlJc w:val="left"/>
      <w:pPr>
        <w:ind w:hanging="360" w:left="4320"/>
        <w:tabs>
          <w:tab w:val="left" w:pos="4320" w:leader="none"/>
        </w:tabs>
      </w:pPr>
      <w:rPr>
        <w:rFonts w:ascii="Wingdings" w:hAnsi="Wingdings"/>
      </w:rPr>
    </w:lvl>
    <w:lvl w:ilvl="6" w:tplc="2B26EE8D">
      <w:start w:val="1"/>
      <w:numFmt w:val="bullet"/>
      <w:suff w:val="tab"/>
      <w:lvlText w:val=""/>
      <w:lvlJc w:val="left"/>
      <w:pPr>
        <w:ind w:hanging="360" w:left="5040"/>
        <w:tabs>
          <w:tab w:val="left" w:pos="5040" w:leader="none"/>
        </w:tabs>
      </w:pPr>
      <w:rPr>
        <w:rFonts w:ascii="Symbol" w:hAnsi="Symbol"/>
      </w:rPr>
    </w:lvl>
    <w:lvl w:ilvl="7" w:tplc="48E828A9">
      <w:start w:val="1"/>
      <w:numFmt w:val="bullet"/>
      <w:suff w:val="tab"/>
      <w:lvlText w:val="o"/>
      <w:lvlJc w:val="left"/>
      <w:pPr>
        <w:ind w:hanging="360" w:left="5760"/>
        <w:tabs>
          <w:tab w:val="left" w:pos="5760" w:leader="none"/>
        </w:tabs>
      </w:pPr>
      <w:rPr>
        <w:rFonts w:ascii="Courier New" w:hAnsi="Courier New"/>
      </w:rPr>
    </w:lvl>
    <w:lvl w:ilvl="8" w:tplc="769A51EC">
      <w:start w:val="1"/>
      <w:numFmt w:val="bullet"/>
      <w:suff w:val="tab"/>
      <w:lvlText w:val=""/>
      <w:lvlJc w:val="left"/>
      <w:pPr>
        <w:ind w:hanging="360" w:left="6480"/>
        <w:tabs>
          <w:tab w:val="left" w:pos="6480" w:leader="none"/>
        </w:tabs>
      </w:pPr>
      <w:rPr>
        <w:rFonts w:ascii="Wingdings" w:hAnsi="Wingdings"/>
      </w:rPr>
    </w:lvl>
  </w:abstractNum>
  <w:num w:numId="1">
    <w:abstractNumId w:val="2"/>
  </w:num>
  <w:num w:numId="2">
    <w:abstractNumId w:val="1"/>
  </w:num>
  <w:num w:numId="3">
    <w:abstractNumId w:val="0"/>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ind w:left="360"/>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20"/>
      <w:u w:val="single"/>
    </w:rPr>
  </w:style>
  <w:style w:type="paragraph" w:styleId="P4">
    <w:name w:val="Heading 3"/>
    <w:basedOn w:val="P0"/>
    <w:next w:val="P0"/>
    <w:pPr>
      <w:keepNext w:val="1"/>
      <w:outlineLvl w:val="2"/>
    </w:pPr>
    <w:rPr>
      <w:rFonts w:ascii="Arial" w:hAnsi="Arial"/>
      <w:b w:val="1"/>
      <w:sz w:val="18"/>
    </w:rPr>
  </w:style>
  <w:style w:type="paragraph" w:styleId="P5">
    <w:name w:val="Heading 4"/>
    <w:basedOn w:val="P0"/>
    <w:next w:val="P0"/>
    <w:pPr>
      <w:keepNext w:val="1"/>
      <w:outlineLvl w:val="3"/>
    </w:pPr>
    <w:rPr>
      <w:rFonts w:ascii="Arial" w:hAnsi="Arial"/>
      <w:sz w:val="52"/>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center"/>
      <w:outlineLvl w:val="6"/>
    </w:pPr>
    <w:rPr>
      <w:rFonts w:ascii="Arial" w:hAnsi="Arial"/>
      <w:b w:val="1"/>
      <w:sz w:val="72"/>
    </w:rPr>
  </w:style>
  <w:style w:type="paragraph" w:styleId="P9">
    <w:name w:val="Heading 8"/>
    <w:basedOn w:val="P0"/>
    <w:next w:val="P0"/>
    <w:pPr>
      <w:keepNext w:val="1"/>
      <w:jc w:val="center"/>
      <w:outlineLvl w:val="7"/>
    </w:pPr>
    <w:rPr>
      <w:rFonts w:ascii="Arial" w:hAnsi="Arial"/>
      <w:b w:val="1"/>
      <w:sz w:val="26"/>
    </w:rPr>
  </w:style>
  <w:style w:type="paragraph" w:styleId="P10">
    <w:name w:val="Heading 9"/>
    <w:basedOn w:val="P0"/>
    <w:next w:val="P0"/>
    <w:pPr>
      <w:keepNext w:val="1"/>
      <w:ind w:left="360"/>
      <w:jc w:val="center"/>
      <w:outlineLvl w:val="8"/>
    </w:pPr>
    <w:rPr>
      <w:rFonts w:ascii="Arial" w:hAnsi="Arial"/>
      <w:b w:val="1"/>
      <w:sz w:val="22"/>
    </w:rPr>
  </w:style>
  <w:style w:type="paragraph" w:styleId="P11">
    <w:name w:val="Footnote Text"/>
    <w:basedOn w:val="P0"/>
    <w:next w:val="P11"/>
    <w:pPr/>
    <w:rPr>
      <w:sz w:val="20"/>
    </w:rPr>
  </w:style>
  <w:style w:type="paragraph" w:styleId="P12">
    <w:name w:val="Body Text Indent"/>
    <w:basedOn w:val="P0"/>
    <w:next w:val="P12"/>
    <w:pPr>
      <w:ind w:firstLine="360" w:left="360"/>
      <w:jc w:val="both"/>
    </w:pPr>
    <w:rPr>
      <w:rFonts w:ascii="Arial" w:hAnsi="Arial"/>
      <w:sz w:val="20"/>
    </w:rPr>
  </w:style>
  <w:style w:type="paragraph" w:styleId="P13">
    <w:name w:val="Body Text Indent 2"/>
    <w:basedOn w:val="P0"/>
    <w:next w:val="P13"/>
    <w:pPr>
      <w:ind w:firstLine="360" w:left="360"/>
      <w:jc w:val="both"/>
    </w:pPr>
    <w:rPr>
      <w:rFonts w:ascii="Arial" w:hAnsi="Arial"/>
      <w:sz w:val="22"/>
    </w:rPr>
  </w:style>
  <w:style w:type="paragraph" w:styleId="P14">
    <w:name w:val="Body Text Indent 3"/>
    <w:basedOn w:val="P0"/>
    <w:next w:val="P14"/>
    <w:pPr>
      <w:ind w:firstLine="900"/>
      <w:jc w:val="both"/>
    </w:pPr>
    <w:rPr>
      <w:rFonts w:ascii="Arial" w:hAnsi="Arial"/>
      <w:sz w:val="22"/>
    </w:rPr>
  </w:style>
  <w:style w:type="paragraph" w:styleId="P15">
    <w:name w:val="Header"/>
    <w:basedOn w:val="P0"/>
    <w:next w:val="P15"/>
    <w:pPr>
      <w:tabs>
        <w:tab w:val="center" w:pos="4320" w:leader="none"/>
        <w:tab w:val="right" w:pos="8640" w:leader="none"/>
      </w:tabs>
    </w:pPr>
    <w:rPr/>
  </w:style>
  <w:style w:type="paragraph" w:styleId="P16">
    <w:name w:val="Footer"/>
    <w:basedOn w:val="P0"/>
    <w:next w:val="P16"/>
    <w:pPr>
      <w:tabs>
        <w:tab w:val="center" w:pos="4320" w:leader="none"/>
        <w:tab w:val="right" w:pos="8640" w:leader="none"/>
      </w:tabs>
    </w:pPr>
    <w:rPr/>
  </w:style>
  <w:style w:type="paragraph" w:styleId="P17">
    <w:name w:val="Body Text"/>
    <w:basedOn w:val="P0"/>
    <w:next w:val="P17"/>
    <w:pPr>
      <w:jc w:val="both"/>
    </w:pPr>
    <w:rPr>
      <w:rFonts w:ascii="Arial" w:hAnsi="Arial"/>
      <w:color w:val="FF0000"/>
      <w:sz w:val="20"/>
    </w:rPr>
  </w:style>
  <w:style w:type="paragraph" w:styleId="P18">
    <w:name w:val="Balloon Text"/>
    <w:basedOn w:val="P0"/>
    <w:next w:val="P18"/>
    <w:pPr/>
    <w:rPr>
      <w:rFonts w:ascii="Tahoma" w:hAnsi="Tahoma"/>
      <w:sz w:val="16"/>
    </w:rPr>
  </w:style>
  <w:style w:type="paragraph" w:styleId="P19">
    <w:name w:val="Car Car"/>
    <w:basedOn w:val="P0"/>
    <w:next w:val="P19"/>
    <w:link w:val="C0"/>
    <w:pPr>
      <w:spacing w:lineRule="exact" w:line="240" w:after="160"/>
    </w:pPr>
    <w:rPr>
      <w:rFonts w:ascii="Verdana" w:hAnsi="Verdana"/>
      <w:i w:val="1"/>
      <w:sz w:val="20"/>
    </w:rPr>
  </w:style>
  <w:style w:type="paragraph" w:styleId="P20">
    <w:name w:val=" Char Char Char Char Char1 Char"/>
    <w:basedOn w:val="P0"/>
    <w:next w:val="P20"/>
    <w:pPr>
      <w:tabs>
        <w:tab w:val="left" w:pos="567" w:leader="none"/>
      </w:tabs>
      <w:spacing w:lineRule="exact" w:line="240" w:before="120" w:after="160"/>
      <w:ind w:hanging="504" w:left="1584"/>
    </w:pPr>
    <w:rPr>
      <w:rFonts w:ascii="Arial" w:hAnsi="Arial"/>
      <w:b w:val="1"/>
      <w:color w:val="000000"/>
    </w:rPr>
  </w:style>
  <w:style w:type="character" w:styleId="C0" w:default="1">
    <w:name w:val="Default Paragraph Font"/>
    <w:link w:val="P19"/>
    <w:semiHidden/>
    <w:rPr>
      <w:rFonts w:ascii="Verdana" w:hAnsi="Verdana"/>
      <w:i w:val="1"/>
      <w:sz w:val="20"/>
    </w:rPr>
  </w:style>
  <w:style w:type="character" w:styleId="C1">
    <w:name w:val="Line Number"/>
    <w:basedOn w:val="C0"/>
    <w:semiHidden/>
    <w:rPr/>
  </w:style>
  <w:style w:type="character" w:styleId="C2">
    <w:name w:val="Hyperlink"/>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x</dc:creator>
  <dcterms:created xsi:type="dcterms:W3CDTF">2013-03-01T10:52:00Z</dcterms:created>
  <cp:lastModifiedBy>Nikola Kapetanovic</cp:lastModifiedBy>
  <cp:lastPrinted>2013-03-08T08:28:00Z</cp:lastPrinted>
  <dcterms:modified xsi:type="dcterms:W3CDTF">2020-01-10T11:42:30Z</dcterms:modified>
  <cp:revision>11</cp:revision>
  <dc:title>Промет робе у трговини на мало у Републици Србији, јануар 2003</dc:title>
</cp:coreProperties>
</file>