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9EE12FA" Type="http://schemas.openxmlformats.org/officeDocument/2006/relationships/officeDocument" Target="/word/document.xml" /><Relationship Id="coreR29EE12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b w:val="1"/>
                <w:sz w:val="48"/>
              </w:rPr>
            </w:pPr>
            <w:r>
              <w:rPr>
                <w:b w:val="1"/>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sz w:val="12"/>
              </w:rPr>
            </w:pPr>
            <w:r>
              <w:rPr>
                <w:b w:val="1"/>
                <w:sz w:val="48"/>
              </w:rPr>
              <w:t>SV21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053 - Year LXIII, 08/03/2013</w:t>
            </w:r>
          </w:p>
        </w:tc>
        <w:tc>
          <w:tcPr>
            <w:tcW w:w="0" w:type="auto"/>
            <w:tcBorders>
              <w:left w:val="none" w:sz="0" w:space="0" w:shadow="0" w:frame="0"/>
              <w:bottom w:val="none" w:sz="0" w:space="0" w:shadow="0" w:frame="0"/>
              <w:right w:val="none" w:sz="0" w:space="0" w:shadow="0" w:frame="0"/>
            </w:tcBorders>
            <w:vAlign w:val="center"/>
          </w:tcPr>
          <w:p>
            <w:pPr>
              <w:jc w:val="right"/>
              <w:rPr>
                <w:b w:val="1"/>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Statistics of Transport and Communications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SRB053 SV21 080313</w:t>
            </w:r>
          </w:p>
        </w:tc>
      </w:tr>
    </w:tbl>
    <w:p/>
    <w:p/>
    <w:p>
      <w:pPr>
        <w:pStyle w:val="P7"/>
        <w:spacing w:before="0" w:after="0"/>
        <w:jc w:val="center"/>
        <w:rPr>
          <w:b w:val="1"/>
          <w:caps w:val="1"/>
          <w:sz w:val="24"/>
        </w:rPr>
      </w:pPr>
    </w:p>
    <w:p>
      <w:pPr>
        <w:pStyle w:val="P7"/>
        <w:spacing w:before="0" w:after="0"/>
        <w:jc w:val="center"/>
        <w:rPr>
          <w:b w:val="1"/>
          <w:caps w:val="1"/>
          <w:sz w:val="24"/>
        </w:rPr>
      </w:pPr>
      <w:r>
        <w:rPr>
          <w:b w:val="1"/>
          <w:caps w:val="1"/>
          <w:sz w:val="24"/>
        </w:rPr>
        <w:t xml:space="preserve">Registered road </w:t>
      </w:r>
      <w:r>
        <w:rPr>
          <w:b w:val="1"/>
          <w:caps w:val="1"/>
          <w:sz w:val="24"/>
        </w:rPr>
        <w:t xml:space="preserve">MOTOR </w:t>
      </w:r>
      <w:r>
        <w:rPr>
          <w:b w:val="1"/>
          <w:caps w:val="1"/>
          <w:sz w:val="24"/>
        </w:rPr>
        <w:t>vehicles and trailers and</w:t>
      </w:r>
    </w:p>
    <w:p>
      <w:pPr>
        <w:pStyle w:val="P5"/>
        <w:spacing w:before="0" w:after="0"/>
        <w:jc w:val="center"/>
        <w:rPr>
          <w:i w:val="0"/>
          <w:caps w:val="1"/>
          <w:sz w:val="24"/>
        </w:rPr>
      </w:pPr>
      <w:r>
        <w:rPr>
          <w:i w:val="0"/>
          <w:caps w:val="1"/>
          <w:sz w:val="24"/>
        </w:rPr>
        <w:t xml:space="preserve">road </w:t>
      </w:r>
      <w:r>
        <w:rPr>
          <w:i w:val="0"/>
          <w:caps w:val="1"/>
          <w:sz w:val="24"/>
        </w:rPr>
        <w:t xml:space="preserve">TRAFFIC </w:t>
      </w:r>
      <w:r>
        <w:rPr>
          <w:i w:val="0"/>
          <w:caps w:val="1"/>
          <w:sz w:val="24"/>
        </w:rPr>
        <w:t>accidents in the Republic of Serbia, 201</w:t>
      </w:r>
      <w:r>
        <w:rPr>
          <w:i w:val="0"/>
          <w:caps w:val="1"/>
          <w:sz w:val="24"/>
        </w:rPr>
        <w:t>2</w:t>
      </w:r>
    </w:p>
    <w:p>
      <w:pPr>
        <w:jc w:val="center"/>
        <w:rPr>
          <w:sz w:val="8"/>
        </w:rPr>
      </w:pPr>
    </w:p>
    <w:p>
      <w:pPr>
        <w:jc w:val="center"/>
        <w:rPr>
          <w:b w:val="1"/>
          <w:sz w:val="22"/>
        </w:rPr>
      </w:pPr>
    </w:p>
    <w:p>
      <w:pPr>
        <w:pStyle w:val="P16"/>
        <w:spacing w:lineRule="auto" w:line="240" w:before="120" w:after="0"/>
        <w:ind w:firstLine="397" w:left="0"/>
        <w:jc w:val="both"/>
      </w:pPr>
      <w:r>
        <w:t xml:space="preserve">The number of passenger cars and freight vehicles registered in 2012 in the Republic of Serbia increased by about 2% in comparison to the number of registered vehicles in the previous year. Dynamic increase of 26.8% was noted for road tractors, and similar increase can also be observed for mopeds and motorcycles. The largest increase of 60.7% was noted for work machines.   </w:t>
      </w:r>
    </w:p>
    <w:p>
      <w:pPr>
        <w:spacing w:before="120"/>
        <w:ind w:firstLine="397"/>
        <w:jc w:val="both"/>
      </w:pPr>
      <w:r>
        <w:t xml:space="preserve">Among domestic trademarks, the largest number of registered passenger cars was Zastava trademark. Regarding foreign trademarks, the following manufacturers were the most notable: Volkswagen, Opel, Ford, Fiat, Renault, Mercedes, Peugeot and Skoda. </w:t>
      </w:r>
    </w:p>
    <w:p>
      <w:pPr>
        <w:pStyle w:val="P16"/>
        <w:spacing w:lineRule="auto" w:line="240" w:before="120" w:after="0"/>
        <w:ind w:firstLine="397" w:left="0"/>
        <w:jc w:val="both"/>
      </w:pPr>
      <w:r>
        <w:t>The number of first time registered passenger cars in 2012 in the Republic of Serbia increased by 5.4%, relative to the previous year, the number of road tractors by 22.9% and that of work machines by 42.7%. Similar fall of about 20% was noted for buses, freight vehicles and trailers.</w:t>
      </w:r>
    </w:p>
    <w:p>
      <w:pPr>
        <w:pStyle w:val="P16"/>
        <w:spacing w:lineRule="auto" w:line="240" w:before="120" w:after="0"/>
        <w:ind w:firstLine="397" w:left="0"/>
        <w:jc w:val="both"/>
      </w:pPr>
      <w:r>
        <w:t xml:space="preserve">The total number of traffic accidents in 2012 decreased by 5.6% when compared to 2011. An increased number of traffic accidents were noted within built-up areas and equalled 88.5%, in comparison to the total number of traffic accidents. </w:t>
      </w:r>
    </w:p>
    <w:p>
      <w:pPr>
        <w:pStyle w:val="P16"/>
        <w:spacing w:lineRule="auto" w:line="240" w:before="120" w:after="0"/>
        <w:ind w:firstLine="397" w:left="0"/>
        <w:jc w:val="both"/>
      </w:pPr>
      <w:r>
        <w:t xml:space="preserve">The number of killed persons in 2012, in comparison to 2011, decreased by 4.7%%, while the number of killed persons outside built-up areas decreased by 10.8%. </w:t>
      </w:r>
    </w:p>
    <w:p>
      <w:pPr>
        <w:jc w:val="center"/>
        <w:rPr>
          <w:b w:val="1"/>
          <w:sz w:val="22"/>
        </w:rPr>
      </w:pPr>
    </w:p>
    <w:p>
      <w:pPr>
        <w:jc w:val="center"/>
        <w:rPr>
          <w:b w:val="1"/>
          <w:sz w:val="22"/>
        </w:rPr>
      </w:pPr>
    </w:p>
    <w:p>
      <w:pPr>
        <w:jc w:val="center"/>
        <w:rPr>
          <w:b w:val="1"/>
          <w:sz w:val="22"/>
        </w:rPr>
      </w:pPr>
    </w:p>
    <w:p>
      <w:pPr>
        <w:jc w:val="center"/>
        <w:rPr>
          <w:b w:val="1"/>
          <w:vertAlign w:val="superscript"/>
        </w:rPr>
      </w:pPr>
      <w:r>
        <w:rPr>
          <w:b w:val="1"/>
        </w:rPr>
        <w:t xml:space="preserve">1. </w:t>
      </w:r>
      <w:r>
        <w:rPr>
          <w:b w:val="1"/>
        </w:rPr>
        <w:t>Total number of registered road motor vehicles and trailers</w:t>
      </w:r>
      <w:r>
        <w:rPr>
          <w:b w:val="1"/>
        </w:rPr>
        <w:t xml:space="preserve"> </w:t>
      </w:r>
      <w:r>
        <w:rPr>
          <w:b w:val="1"/>
          <w:vertAlign w:val="superscript"/>
        </w:rPr>
        <w:t>1)</w:t>
      </w:r>
    </w:p>
    <w:p>
      <w:pPr>
        <w:jc w:val="center"/>
        <w:rPr>
          <w:sz w:val="8"/>
        </w:rPr>
      </w:pPr>
    </w:p>
    <w:tbl>
      <w:tblPr>
        <w:tblStyle w:val="T3"/>
        <w:tblW w:w="0" w:type="auto"/>
        <w:jc w:val="center"/>
        <w:tblLayout w:type="autofit"/>
        <w:tblCellMar>
          <w:left w:w="28" w:type="dxa"/>
          <w:right w:w="28" w:type="dxa"/>
        </w:tblCellMar>
      </w:tblPr>
      <w:tblGrid/>
      <w:tr>
        <w:trPr>
          <w:wAfter w:w="0" w:type="dxa"/>
          <w:trHeight w:hRule="atLeast" w:val="302"/>
        </w:trPr>
        <w:tc>
          <w:tcPr>
            <w:tcW w:w="1316" w:type="dxa"/>
            <w:vMerge w:val="restart"/>
            <w:tcBorders>
              <w:left w:val="none" w:sz="0" w:space="0" w:shadow="0" w:frame="0"/>
            </w:tcBorders>
            <w:shd w:val="nil" w:color="auto" w:fill="auto"/>
            <w:vAlign w:val="center"/>
          </w:tcPr>
          <w:p>
            <w:pPr>
              <w:jc w:val="center"/>
              <w:rPr>
                <w:sz w:val="15"/>
              </w:rPr>
            </w:pPr>
          </w:p>
        </w:tc>
        <w:tc>
          <w:tcPr>
            <w:tcW w:w="4200" w:type="dxa"/>
            <w:gridSpan w:val="6"/>
            <w:shd w:val="nil" w:color="auto" w:fill="auto"/>
            <w:vAlign w:val="center"/>
          </w:tcPr>
          <w:p>
            <w:pPr>
              <w:spacing w:before="60" w:after="60"/>
              <w:jc w:val="center"/>
              <w:rPr>
                <w:sz w:val="15"/>
              </w:rPr>
            </w:pPr>
            <w:r>
              <w:rPr>
                <w:sz w:val="15"/>
              </w:rPr>
              <w:t>2011</w:t>
            </w:r>
          </w:p>
        </w:tc>
        <w:tc>
          <w:tcPr>
            <w:tcW w:w="4200" w:type="dxa"/>
            <w:gridSpan w:val="6"/>
            <w:vAlign w:val="center"/>
          </w:tcPr>
          <w:p>
            <w:pPr>
              <w:spacing w:before="60" w:after="60"/>
              <w:jc w:val="center"/>
              <w:rPr>
                <w:sz w:val="15"/>
              </w:rPr>
            </w:pPr>
            <w:r>
              <w:rPr>
                <w:sz w:val="15"/>
              </w:rPr>
              <w:t>2012</w:t>
            </w:r>
          </w:p>
        </w:tc>
        <w:tc>
          <w:tcPr>
            <w:tcW w:w="545" w:type="dxa"/>
            <w:vMerge w:val="restart"/>
            <w:tcBorders>
              <w:right w:val="none" w:sz="0" w:space="0" w:shadow="0" w:frame="0"/>
            </w:tcBorders>
            <w:vAlign w:val="center"/>
          </w:tcPr>
          <w:p>
            <w:pPr>
              <w:jc w:val="center"/>
              <w:rPr>
                <w:sz w:val="15"/>
              </w:rPr>
            </w:pPr>
          </w:p>
          <w:p>
            <w:pPr>
              <w:jc w:val="center"/>
              <w:rPr>
                <w:sz w:val="15"/>
              </w:rPr>
            </w:pPr>
          </w:p>
          <w:p>
            <w:pPr>
              <w:jc w:val="center"/>
              <w:rPr>
                <w:sz w:val="15"/>
              </w:rPr>
            </w:pPr>
          </w:p>
          <w:p>
            <w:pPr>
              <w:jc w:val="center"/>
              <w:rPr>
                <w:sz w:val="15"/>
              </w:rPr>
            </w:pPr>
            <w:r>
              <w:rPr>
                <w:sz w:val="15"/>
              </w:rPr>
              <w:t>2012</w:t>
              <w:br w:type="textWrapping"/>
            </w:r>
          </w:p>
          <w:p>
            <w:pPr>
              <w:jc w:val="center"/>
              <w:rPr>
                <w:sz w:val="15"/>
              </w:rPr>
            </w:pPr>
            <w:r>
              <w:rPr>
                <w:sz w:val="15"/>
              </w:rPr>
              <w:t>2011</w:t>
            </w:r>
          </w:p>
        </w:tc>
      </w:tr>
      <w:tr>
        <w:trPr>
          <w:wAfter w:w="0" w:type="dxa"/>
          <w:trHeight w:hRule="atLeast" w:val="260"/>
        </w:trPr>
        <w:tc>
          <w:tcPr>
            <w:tcW w:w="1316" w:type="dxa"/>
            <w:vMerge w:val="continue"/>
            <w:tcBorders>
              <w:left w:val="none" w:sz="0" w:space="0" w:shadow="0" w:frame="0"/>
            </w:tcBorders>
            <w:shd w:val="nil" w:color="auto" w:fill="auto"/>
            <w:vAlign w:val="center"/>
          </w:tcPr>
          <w:p>
            <w:pPr>
              <w:jc w:val="center"/>
              <w:rPr>
                <w:sz w:val="15"/>
              </w:rPr>
            </w:pPr>
          </w:p>
        </w:tc>
        <w:tc>
          <w:tcPr>
            <w:tcW w:w="4200" w:type="dxa"/>
            <w:gridSpan w:val="6"/>
            <w:shd w:val="nil" w:color="auto" w:fill="auto"/>
          </w:tcPr>
          <w:p>
            <w:pPr>
              <w:spacing w:before="40" w:after="40"/>
              <w:jc w:val="center"/>
              <w:rPr>
                <w:sz w:val="15"/>
              </w:rPr>
            </w:pPr>
            <w:r>
              <w:rPr>
                <w:sz w:val="15"/>
              </w:rPr>
              <w:t>Republic of Serbia</w:t>
            </w:r>
          </w:p>
        </w:tc>
        <w:tc>
          <w:tcPr>
            <w:tcW w:w="4200" w:type="dxa"/>
            <w:gridSpan w:val="6"/>
          </w:tcPr>
          <w:p>
            <w:pPr>
              <w:spacing w:before="40" w:after="40"/>
              <w:jc w:val="center"/>
              <w:rPr>
                <w:sz w:val="15"/>
              </w:rPr>
            </w:pPr>
            <w:r>
              <w:rPr>
                <w:sz w:val="15"/>
              </w:rPr>
              <w:t>Republic of Serbia</w:t>
            </w:r>
          </w:p>
        </w:tc>
        <w:tc>
          <w:tcPr>
            <w:tcW w:w="545" w:type="dxa"/>
            <w:vMerge w:val="continue"/>
            <w:tcBorders>
              <w:right w:val="none" w:sz="0" w:space="0" w:shadow="0" w:frame="0"/>
            </w:tcBorders>
            <w:vAlign w:val="center"/>
          </w:tcPr>
          <w:p>
            <w:pPr>
              <w:jc w:val="center"/>
              <w:rPr>
                <w:sz w:val="15"/>
              </w:rPr>
            </w:pPr>
          </w:p>
        </w:tc>
      </w:tr>
      <w:tr>
        <w:trPr>
          <w:wAfter w:w="0" w:type="dxa"/>
        </w:trPr>
        <w:tc>
          <w:tcPr>
            <w:tcW w:w="1316" w:type="dxa"/>
            <w:vMerge w:val="continue"/>
            <w:tcBorders>
              <w:left w:val="none" w:sz="0" w:space="0" w:shadow="0" w:frame="0"/>
              <w:bottom w:val="single" w:sz="4" w:space="0" w:shadow="0" w:frame="0"/>
            </w:tcBorders>
            <w:vAlign w:val="center"/>
          </w:tcPr>
          <w:p>
            <w:pPr>
              <w:jc w:val="center"/>
              <w:rPr>
                <w:sz w:val="15"/>
              </w:rPr>
            </w:pPr>
          </w:p>
        </w:tc>
        <w:tc>
          <w:tcPr>
            <w:tcW w:w="753" w:type="dxa"/>
            <w:tcBorders>
              <w:bottom w:val="single" w:sz="4" w:space="0" w:shadow="0" w:frame="0"/>
            </w:tcBorders>
            <w:vAlign w:val="center"/>
          </w:tcPr>
          <w:p>
            <w:pPr>
              <w:jc w:val="center"/>
              <w:rPr>
                <w:sz w:val="15"/>
              </w:rPr>
            </w:pPr>
            <w:r>
              <w:rPr>
                <w:sz w:val="15"/>
              </w:rPr>
              <w:t xml:space="preserve">Total </w:t>
            </w:r>
          </w:p>
        </w:tc>
        <w:tc>
          <w:tcPr>
            <w:tcW w:w="670" w:type="dxa"/>
            <w:tcBorders>
              <w:bottom w:val="single" w:sz="4" w:space="0" w:shadow="0" w:frame="0"/>
            </w:tcBorders>
            <w:vAlign w:val="center"/>
          </w:tcPr>
          <w:p>
            <w:pPr>
              <w:jc w:val="center"/>
              <w:rPr>
                <w:sz w:val="15"/>
              </w:rPr>
            </w:pPr>
            <w:r>
              <w:rPr>
                <w:sz w:val="15"/>
              </w:rPr>
              <w:t xml:space="preserve">Region of Belgrade </w:t>
            </w:r>
          </w:p>
        </w:tc>
        <w:tc>
          <w:tcPr>
            <w:tcW w:w="671" w:type="dxa"/>
            <w:tcBorders>
              <w:bottom w:val="single" w:sz="4" w:space="0" w:shadow="0" w:frame="0"/>
            </w:tcBorders>
            <w:vAlign w:val="center"/>
          </w:tcPr>
          <w:p>
            <w:pPr>
              <w:jc w:val="center"/>
              <w:rPr>
                <w:sz w:val="15"/>
              </w:rPr>
            </w:pPr>
            <w:r>
              <w:rPr>
                <w:sz w:val="15"/>
              </w:rPr>
              <w:t>Region of Vojvodina</w:t>
            </w:r>
          </w:p>
        </w:tc>
        <w:tc>
          <w:tcPr>
            <w:tcW w:w="744" w:type="dxa"/>
            <w:tcBorders>
              <w:bottom w:val="single" w:sz="4" w:space="0" w:shadow="0" w:frame="0"/>
            </w:tcBorders>
            <w:vAlign w:val="center"/>
          </w:tcPr>
          <w:p>
            <w:pPr>
              <w:jc w:val="center"/>
              <w:rPr>
                <w:sz w:val="15"/>
              </w:rPr>
            </w:pPr>
            <w:r>
              <w:rPr>
                <w:sz w:val="15"/>
              </w:rPr>
              <w:t>Region of Šumadija and West Serbia</w:t>
            </w:r>
          </w:p>
        </w:tc>
        <w:tc>
          <w:tcPr>
            <w:tcW w:w="670" w:type="dxa"/>
            <w:tcBorders>
              <w:bottom w:val="single" w:sz="4" w:space="0" w:shadow="0" w:frame="0"/>
            </w:tcBorders>
            <w:vAlign w:val="center"/>
          </w:tcPr>
          <w:p>
            <w:pPr>
              <w:jc w:val="center"/>
              <w:rPr>
                <w:sz w:val="15"/>
              </w:rPr>
            </w:pPr>
            <w:r>
              <w:rPr>
                <w:sz w:val="15"/>
              </w:rPr>
              <w:t xml:space="preserve">Region of South and East Serbia </w:t>
            </w:r>
          </w:p>
        </w:tc>
        <w:tc>
          <w:tcPr>
            <w:tcW w:w="692" w:type="dxa"/>
            <w:tcBorders>
              <w:bottom w:val="single" w:sz="4" w:space="0" w:shadow="0" w:frame="0"/>
            </w:tcBorders>
            <w:vAlign w:val="center"/>
          </w:tcPr>
          <w:p>
            <w:pPr>
              <w:jc w:val="center"/>
              <w:rPr>
                <w:sz w:val="15"/>
              </w:rPr>
            </w:pPr>
            <w:r>
              <w:rPr>
                <w:sz w:val="15"/>
              </w:rPr>
              <w:t xml:space="preserve">Region of Kosovo and Metohija </w:t>
            </w:r>
          </w:p>
        </w:tc>
        <w:tc>
          <w:tcPr>
            <w:tcW w:w="753" w:type="dxa"/>
            <w:tcBorders>
              <w:bottom w:val="single" w:sz="4" w:space="0" w:shadow="0" w:frame="0"/>
            </w:tcBorders>
            <w:vAlign w:val="center"/>
          </w:tcPr>
          <w:p>
            <w:pPr>
              <w:jc w:val="center"/>
              <w:rPr>
                <w:sz w:val="15"/>
              </w:rPr>
            </w:pPr>
            <w:r>
              <w:rPr>
                <w:sz w:val="15"/>
              </w:rPr>
              <w:t>Total</w:t>
            </w:r>
          </w:p>
        </w:tc>
        <w:tc>
          <w:tcPr>
            <w:tcW w:w="670" w:type="dxa"/>
            <w:tcBorders>
              <w:bottom w:val="single" w:sz="4" w:space="0" w:shadow="0" w:frame="0"/>
            </w:tcBorders>
            <w:vAlign w:val="center"/>
          </w:tcPr>
          <w:p>
            <w:pPr>
              <w:jc w:val="center"/>
              <w:rPr>
                <w:sz w:val="15"/>
              </w:rPr>
            </w:pPr>
            <w:r>
              <w:rPr>
                <w:sz w:val="15"/>
              </w:rPr>
              <w:t xml:space="preserve">Region of Belgrade </w:t>
            </w:r>
          </w:p>
        </w:tc>
        <w:tc>
          <w:tcPr>
            <w:tcW w:w="671" w:type="dxa"/>
            <w:tcBorders>
              <w:bottom w:val="single" w:sz="4" w:space="0" w:shadow="0" w:frame="0"/>
            </w:tcBorders>
            <w:vAlign w:val="center"/>
          </w:tcPr>
          <w:p>
            <w:pPr>
              <w:jc w:val="center"/>
              <w:rPr>
                <w:sz w:val="15"/>
              </w:rPr>
            </w:pPr>
            <w:r>
              <w:rPr>
                <w:sz w:val="15"/>
              </w:rPr>
              <w:t>Region of Vojvodina</w:t>
            </w:r>
          </w:p>
        </w:tc>
        <w:tc>
          <w:tcPr>
            <w:tcW w:w="744" w:type="dxa"/>
            <w:tcBorders>
              <w:bottom w:val="single" w:sz="4" w:space="0" w:shadow="0" w:frame="0"/>
            </w:tcBorders>
            <w:vAlign w:val="center"/>
          </w:tcPr>
          <w:p>
            <w:pPr>
              <w:jc w:val="center"/>
              <w:rPr>
                <w:sz w:val="15"/>
              </w:rPr>
            </w:pPr>
            <w:r>
              <w:rPr>
                <w:sz w:val="15"/>
              </w:rPr>
              <w:t>Region of Šumadija and West Serbia</w:t>
            </w:r>
          </w:p>
        </w:tc>
        <w:tc>
          <w:tcPr>
            <w:tcW w:w="670" w:type="dxa"/>
            <w:tcBorders>
              <w:bottom w:val="single" w:sz="4" w:space="0" w:shadow="0" w:frame="0"/>
            </w:tcBorders>
            <w:vAlign w:val="center"/>
          </w:tcPr>
          <w:p>
            <w:pPr>
              <w:jc w:val="center"/>
              <w:rPr>
                <w:sz w:val="15"/>
              </w:rPr>
            </w:pPr>
            <w:r>
              <w:rPr>
                <w:sz w:val="15"/>
              </w:rPr>
              <w:t xml:space="preserve">Region of South and East Serbia </w:t>
            </w:r>
          </w:p>
        </w:tc>
        <w:tc>
          <w:tcPr>
            <w:tcW w:w="692" w:type="dxa"/>
            <w:tcBorders>
              <w:bottom w:val="single" w:sz="4" w:space="0" w:shadow="0" w:frame="0"/>
            </w:tcBorders>
            <w:vAlign w:val="center"/>
          </w:tcPr>
          <w:p>
            <w:pPr>
              <w:jc w:val="center"/>
              <w:rPr>
                <w:sz w:val="15"/>
              </w:rPr>
            </w:pPr>
            <w:r>
              <w:rPr>
                <w:sz w:val="15"/>
              </w:rPr>
              <w:t xml:space="preserve">Region of Kosovo and Metohija </w:t>
            </w:r>
          </w:p>
        </w:tc>
        <w:tc>
          <w:tcPr>
            <w:tcW w:w="545" w:type="dxa"/>
            <w:vMerge w:val="continue"/>
            <w:tcBorders>
              <w:bottom w:val="single" w:sz="4" w:space="0" w:shadow="0" w:frame="0"/>
              <w:right w:val="none" w:sz="0" w:space="0" w:shadow="0" w:frame="0"/>
            </w:tcBorders>
            <w:vAlign w:val="center"/>
          </w:tcPr>
          <w:p>
            <w:pPr>
              <w:jc w:val="center"/>
              <w:rPr>
                <w:sz w:val="15"/>
              </w:rPr>
            </w:pPr>
          </w:p>
        </w:tc>
      </w:tr>
      <w:tr>
        <w:trPr>
          <w:wAfter w:w="0" w:type="dxa"/>
        </w:trPr>
        <w:tc>
          <w:tcPr>
            <w:tcW w:w="1316" w:type="dxa"/>
            <w:tcBorders>
              <w:top w:val="single" w:sz="4" w:space="0" w:shadow="0" w:frame="0"/>
              <w:left w:val="none" w:sz="0" w:space="0" w:shadow="0" w:frame="0"/>
              <w:bottom w:val="none" w:sz="0" w:space="0" w:shadow="0" w:frame="0"/>
              <w:right w:val="single" w:sz="4" w:space="0" w:shadow="0" w:frame="0"/>
            </w:tcBorders>
            <w:vAlign w:val="center"/>
          </w:tcPr>
          <w:p>
            <w:pPr>
              <w:rPr>
                <w:sz w:val="15"/>
              </w:rPr>
            </w:pPr>
          </w:p>
        </w:tc>
        <w:tc>
          <w:tcPr>
            <w:tcW w:w="753" w:type="dxa"/>
            <w:tcBorders>
              <w:top w:val="single" w:sz="4" w:space="0" w:shadow="0" w:frame="0"/>
              <w:left w:val="single" w:sz="4" w:space="0" w:shadow="0" w:frame="0"/>
              <w:bottom w:val="none" w:sz="0" w:space="0" w:shadow="0" w:frame="0"/>
              <w:right w:val="none" w:sz="0" w:space="0" w:shadow="0" w:frame="0"/>
            </w:tcBorders>
            <w:vAlign w:val="bottom"/>
          </w:tcPr>
          <w:p>
            <w:pPr>
              <w:jc w:val="right"/>
              <w:rPr>
                <w:sz w:val="15"/>
              </w:rPr>
            </w:pPr>
          </w:p>
        </w:tc>
        <w:tc>
          <w:tcPr>
            <w:tcW w:w="670"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671"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744"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670"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692" w:type="dxa"/>
            <w:tcBorders>
              <w:top w:val="single" w:sz="4" w:space="0" w:shadow="0" w:frame="0"/>
              <w:left w:val="none" w:sz="0" w:space="0" w:shadow="0" w:frame="0"/>
              <w:bottom w:val="none" w:sz="0" w:space="0" w:shadow="0" w:frame="0"/>
              <w:right w:val="single" w:sz="4" w:space="0" w:shadow="0" w:frame="0"/>
            </w:tcBorders>
            <w:vAlign w:val="bottom"/>
          </w:tcPr>
          <w:p>
            <w:pPr>
              <w:jc w:val="right"/>
              <w:rPr>
                <w:sz w:val="15"/>
              </w:rPr>
            </w:pPr>
          </w:p>
        </w:tc>
        <w:tc>
          <w:tcPr>
            <w:tcW w:w="753" w:type="dxa"/>
            <w:tcBorders>
              <w:top w:val="single" w:sz="4" w:space="0" w:shadow="0" w:frame="0"/>
              <w:left w:val="single" w:sz="4" w:space="0" w:shadow="0" w:frame="0"/>
              <w:bottom w:val="none" w:sz="0" w:space="0" w:shadow="0" w:frame="0"/>
              <w:right w:val="none" w:sz="0" w:space="0" w:shadow="0" w:frame="0"/>
            </w:tcBorders>
            <w:vAlign w:val="bottom"/>
          </w:tcPr>
          <w:p>
            <w:pPr>
              <w:jc w:val="right"/>
              <w:rPr>
                <w:sz w:val="15"/>
              </w:rPr>
            </w:pPr>
          </w:p>
        </w:tc>
        <w:tc>
          <w:tcPr>
            <w:tcW w:w="670"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671"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744"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670" w:type="dxa"/>
            <w:tcBorders>
              <w:top w:val="single" w:sz="4" w:space="0" w:shadow="0" w:frame="0"/>
              <w:left w:val="none" w:sz="0" w:space="0" w:shadow="0" w:frame="0"/>
              <w:bottom w:val="none" w:sz="0" w:space="0" w:shadow="0" w:frame="0"/>
              <w:right w:val="none" w:sz="0" w:space="0" w:shadow="0" w:frame="0"/>
            </w:tcBorders>
            <w:vAlign w:val="bottom"/>
          </w:tcPr>
          <w:p>
            <w:pPr>
              <w:jc w:val="right"/>
              <w:rPr>
                <w:sz w:val="15"/>
              </w:rPr>
            </w:pPr>
          </w:p>
        </w:tc>
        <w:tc>
          <w:tcPr>
            <w:tcW w:w="692" w:type="dxa"/>
            <w:tcBorders>
              <w:top w:val="single" w:sz="4" w:space="0" w:shadow="0" w:frame="0"/>
              <w:left w:val="none" w:sz="0" w:space="0" w:shadow="0" w:frame="0"/>
              <w:bottom w:val="none" w:sz="0" w:space="0" w:shadow="0" w:frame="0"/>
              <w:right w:val="single" w:sz="4" w:space="0" w:shadow="0" w:frame="0"/>
            </w:tcBorders>
            <w:vAlign w:val="bottom"/>
          </w:tcPr>
          <w:p>
            <w:pPr>
              <w:jc w:val="right"/>
              <w:rPr>
                <w:sz w:val="15"/>
              </w:rPr>
            </w:pPr>
          </w:p>
        </w:tc>
        <w:tc>
          <w:tcPr>
            <w:tcW w:w="545" w:type="dxa"/>
            <w:tcBorders>
              <w:top w:val="single" w:sz="4" w:space="0" w:shadow="0" w:frame="0"/>
              <w:left w:val="single" w:sz="4" w:space="0" w:shadow="0" w:frame="0"/>
              <w:bottom w:val="none" w:sz="0" w:space="0" w:shadow="0" w:frame="0"/>
              <w:right w:val="none" w:sz="0" w:space="0" w:shadow="0" w:frame="0"/>
            </w:tcBorders>
            <w:vAlign w:val="bottom"/>
          </w:tcPr>
          <w:p>
            <w:pPr>
              <w:jc w:val="right"/>
              <w:rPr>
                <w:sz w:val="15"/>
              </w:rPr>
            </w:pP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Mopeds</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10266</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2335</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3578</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1997</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2332</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24</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12875</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2945</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4290</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2819</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2800</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21</w:t>
            </w:r>
          </w:p>
        </w:tc>
        <w:tc>
          <w:tcPr>
            <w:tcW w:w="54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125.4</w:t>
            </w: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Motorcycles</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28869</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8210</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9399</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6028</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5163</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69</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34362</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8373</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10993</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7487</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7445</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64</w:t>
            </w:r>
          </w:p>
        </w:tc>
        <w:tc>
          <w:tcPr>
            <w:tcW w:w="54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119.0</w:t>
            </w: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Passengers cars</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1677510</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473414</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426348</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435498</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324019</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18231</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1726464</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431350</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442280</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452217</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385148</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15469</w:t>
            </w:r>
          </w:p>
        </w:tc>
        <w:tc>
          <w:tcPr>
            <w:tcW w:w="545"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102.9</w:t>
            </w: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Buses</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8805</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3667</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1679</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1799</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1564</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96</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8829</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3452</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1712</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1836</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1738</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91</w:t>
            </w:r>
          </w:p>
        </w:tc>
        <w:tc>
          <w:tcPr>
            <w:tcW w:w="54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100.3</w:t>
            </w: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Lorries (trucks)</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159455</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49392</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36883</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45677</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26889</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614</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163348</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51818</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38336</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43959</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28781</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454</w:t>
            </w:r>
          </w:p>
        </w:tc>
        <w:tc>
          <w:tcPr>
            <w:tcW w:w="545"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102.4</w:t>
            </w: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Road tractors</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12443</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4107</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3747</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3410</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1143</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36</w:t>
            </w:r>
          </w:p>
        </w:tc>
        <w:tc>
          <w:tcPr>
            <w:tcW w:w="75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15781</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4187</w:t>
            </w:r>
          </w:p>
        </w:tc>
        <w:tc>
          <w:tcPr>
            <w:tcW w:w="67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4300</w:t>
            </w:r>
          </w:p>
        </w:tc>
        <w:tc>
          <w:tcPr>
            <w:tcW w:w="74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4319</w:t>
            </w:r>
          </w:p>
        </w:tc>
        <w:tc>
          <w:tcPr>
            <w:tcW w:w="67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2857</w:t>
            </w:r>
          </w:p>
        </w:tc>
        <w:tc>
          <w:tcPr>
            <w:tcW w:w="69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118</w:t>
            </w:r>
          </w:p>
        </w:tc>
        <w:tc>
          <w:tcPr>
            <w:tcW w:w="54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126.8</w:t>
            </w: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Trailers and semi-trailers</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32862</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6825</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7885</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10150</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7944</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58</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34814</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7215</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8312</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11244</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7965</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78</w:t>
            </w:r>
          </w:p>
        </w:tc>
        <w:tc>
          <w:tcPr>
            <w:tcW w:w="545"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105.9</w:t>
            </w:r>
          </w:p>
        </w:tc>
      </w:tr>
      <w:tr>
        <w:trPr>
          <w:wAfter w:w="0" w:type="dxa"/>
        </w:trPr>
        <w:tc>
          <w:tcPr>
            <w:tcW w:w="1316" w:type="dxa"/>
            <w:tcBorders>
              <w:top w:val="none" w:sz="0" w:space="0" w:shadow="0" w:frame="0"/>
              <w:left w:val="none" w:sz="0" w:space="0" w:shadow="0" w:frame="0"/>
              <w:bottom w:val="none" w:sz="0" w:space="0" w:shadow="0" w:frame="0"/>
              <w:right w:val="single" w:sz="4" w:space="0" w:shadow="0" w:frame="0"/>
            </w:tcBorders>
            <w:vAlign w:val="center"/>
          </w:tcPr>
          <w:p>
            <w:pPr>
              <w:spacing w:before="96"/>
              <w:rPr>
                <w:sz w:val="15"/>
              </w:rPr>
            </w:pPr>
            <w:r>
              <w:rPr>
                <w:sz w:val="15"/>
              </w:rPr>
              <w:t>Special purpose motor vehicles</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2736</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733</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1237</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488</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274</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4</w:t>
            </w:r>
          </w:p>
        </w:tc>
        <w:tc>
          <w:tcPr>
            <w:tcW w:w="75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4396</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926</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2169</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742</w:t>
            </w:r>
          </w:p>
        </w:tc>
        <w:tc>
          <w:tcPr>
            <w:tcW w:w="670"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548</w:t>
            </w:r>
          </w:p>
        </w:tc>
        <w:tc>
          <w:tcPr>
            <w:tcW w:w="69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11</w:t>
            </w:r>
          </w:p>
        </w:tc>
        <w:tc>
          <w:tcPr>
            <w:tcW w:w="545"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160.7</w:t>
            </w:r>
          </w:p>
        </w:tc>
      </w:tr>
    </w:tbl>
    <w:p>
      <w:pPr>
        <w:rPr>
          <w:sz w:val="14"/>
        </w:rPr>
      </w:pPr>
    </w:p>
    <w:p>
      <w:pPr>
        <w:rPr>
          <w:sz w:val="12"/>
        </w:rPr>
      </w:pPr>
    </w:p>
    <w:p>
      <w:pPr>
        <w:rPr>
          <w:sz w:val="14"/>
        </w:rPr>
      </w:pPr>
      <w:r>
        <w:rPr>
          <w:sz w:val="14"/>
        </w:rPr>
        <w:t>Source: Ministry of the Interior of the Republic of Serbia.</w:t>
      </w:r>
    </w:p>
    <w:p>
      <w:pPr>
        <w:rPr>
          <w:sz w:val="14"/>
        </w:rPr>
      </w:pPr>
      <w:r>
        <w:rPr>
          <w:sz w:val="14"/>
          <w:vertAlign w:val="superscript"/>
        </w:rPr>
        <w:t>1)</w:t>
      </w:r>
      <w:r>
        <w:rPr>
          <w:sz w:val="14"/>
        </w:rPr>
        <w:t xml:space="preserve"> Included are all vehicles that had the valid car-license in any part of the reporting period. Vehicles with temporary license plates, vehicles of the Ministry of the interior, vehicles of the military forces of the Republic of Serbia are not included.</w:t>
      </w:r>
    </w:p>
    <w:p>
      <w:pPr>
        <w:rPr>
          <w:sz w:val="8"/>
        </w:rPr>
      </w:pPr>
    </w:p>
    <w:p>
      <w:pPr>
        <w:rPr>
          <w:sz w:val="8"/>
        </w:rPr>
      </w:pPr>
    </w:p>
    <w:p>
      <w:pPr>
        <w:rPr>
          <w:sz w:val="8"/>
        </w:rPr>
      </w:pPr>
    </w:p>
    <w:p>
      <w:pPr>
        <w:jc w:val="center"/>
        <w:rPr>
          <w:b w:val="1"/>
        </w:rPr>
      </w:pPr>
    </w:p>
    <w:p>
      <w:pPr>
        <w:jc w:val="center"/>
        <w:rPr>
          <w:b w:val="1"/>
        </w:rPr>
      </w:pPr>
    </w:p>
    <w:p>
      <w:pPr>
        <w:jc w:val="center"/>
        <w:rPr>
          <w:b w:val="1"/>
        </w:rPr>
      </w:pPr>
    </w:p>
    <w:p>
      <w:pPr>
        <w:jc w:val="center"/>
      </w:pPr>
      <w:r>
        <w:rPr>
          <w:b w:val="1"/>
        </w:rPr>
        <w:t>2. Number of first</w:t>
      </w:r>
      <w:r>
        <w:rPr>
          <w:b w:val="1"/>
        </w:rPr>
        <w:t>-</w:t>
      </w:r>
      <w:r>
        <w:rPr>
          <w:b w:val="1"/>
        </w:rPr>
        <w:t xml:space="preserve">time registered road </w:t>
      </w:r>
      <w:r>
        <w:rPr>
          <w:b w:val="1"/>
        </w:rPr>
        <w:t xml:space="preserve">motor </w:t>
      </w:r>
      <w:r>
        <w:rPr>
          <w:b w:val="1"/>
        </w:rPr>
        <w:t>vehicles and trailers</w:t>
      </w:r>
      <w:r>
        <w:rPr>
          <w:b w:val="1"/>
          <w:vertAlign w:val="superscript"/>
        </w:rPr>
        <w:t xml:space="preserve"> 1)</w:t>
      </w:r>
    </w:p>
    <w:p>
      <w:pPr>
        <w:jc w:val="center"/>
        <w:rPr>
          <w:sz w:val="8"/>
        </w:rPr>
      </w:pPr>
    </w:p>
    <w:tbl>
      <w:tblPr>
        <w:tblStyle w:val="T3"/>
        <w:tblW w:w="0" w:type="auto"/>
        <w:jc w:val="center"/>
        <w:tblLayout w:type="autofit"/>
        <w:tblCellMar>
          <w:left w:w="28" w:type="dxa"/>
          <w:right w:w="28" w:type="dxa"/>
        </w:tblCellMar>
      </w:tblPr>
      <w:tblGrid/>
      <w:tr>
        <w:trPr>
          <w:wAfter w:w="0" w:type="dxa"/>
          <w:trHeight w:hRule="atLeast" w:val="20"/>
        </w:trPr>
        <w:tc>
          <w:tcPr>
            <w:tcW w:w="1353" w:type="dxa"/>
            <w:vMerge w:val="restart"/>
            <w:tcBorders>
              <w:left w:val="none" w:sz="0" w:space="0" w:shadow="0" w:frame="0"/>
            </w:tcBorders>
            <w:shd w:val="nil" w:color="auto" w:fill="auto"/>
          </w:tcPr>
          <w:p>
            <w:pPr>
              <w:jc w:val="center"/>
              <w:rPr>
                <w:sz w:val="15"/>
              </w:rPr>
            </w:pPr>
          </w:p>
        </w:tc>
        <w:tc>
          <w:tcPr>
            <w:tcW w:w="4080" w:type="dxa"/>
            <w:gridSpan w:val="6"/>
            <w:shd w:val="nil" w:color="auto" w:fill="auto"/>
          </w:tcPr>
          <w:p>
            <w:pPr>
              <w:spacing w:before="40" w:after="40"/>
              <w:jc w:val="center"/>
              <w:rPr>
                <w:sz w:val="15"/>
              </w:rPr>
            </w:pPr>
            <w:r>
              <w:rPr>
                <w:sz w:val="15"/>
              </w:rPr>
              <w:t>2011</w:t>
            </w:r>
          </w:p>
        </w:tc>
        <w:tc>
          <w:tcPr>
            <w:tcW w:w="4078" w:type="dxa"/>
            <w:gridSpan w:val="6"/>
          </w:tcPr>
          <w:p>
            <w:pPr>
              <w:spacing w:before="40" w:after="40"/>
              <w:jc w:val="center"/>
              <w:rPr>
                <w:sz w:val="15"/>
              </w:rPr>
            </w:pPr>
            <w:r>
              <w:rPr>
                <w:sz w:val="15"/>
              </w:rPr>
              <w:t>2012</w:t>
            </w:r>
          </w:p>
        </w:tc>
        <w:tc>
          <w:tcPr>
            <w:tcW w:w="739" w:type="dxa"/>
            <w:vMerge w:val="restart"/>
            <w:tcBorders>
              <w:right w:val="none" w:sz="0" w:space="0" w:shadow="0" w:frame="0"/>
            </w:tcBorders>
            <w:vAlign w:val="center"/>
          </w:tcPr>
          <w:p>
            <w:pPr>
              <w:jc w:val="center"/>
              <w:rPr>
                <w:sz w:val="15"/>
              </w:rPr>
            </w:pPr>
          </w:p>
          <w:p>
            <w:pPr>
              <w:jc w:val="center"/>
              <w:rPr>
                <w:sz w:val="15"/>
              </w:rPr>
            </w:pPr>
          </w:p>
          <w:p>
            <w:pPr>
              <w:jc w:val="center"/>
              <w:rPr>
                <w:sz w:val="15"/>
              </w:rPr>
            </w:pPr>
          </w:p>
          <w:p>
            <w:pPr>
              <w:jc w:val="center"/>
              <w:rPr>
                <w:sz w:val="15"/>
              </w:rPr>
            </w:pPr>
            <w:r>
              <w:rPr>
                <w:sz w:val="15"/>
              </w:rPr>
              <w:t xml:space="preserve"> 2012</w:t>
              <w:br w:type="textWrapping"/>
            </w:r>
          </w:p>
          <w:p>
            <w:pPr>
              <w:jc w:val="center"/>
              <w:rPr>
                <w:sz w:val="15"/>
              </w:rPr>
            </w:pPr>
            <w:r>
              <w:rPr>
                <w:sz w:val="15"/>
              </w:rPr>
              <w:t>2011</w:t>
            </w:r>
          </w:p>
        </w:tc>
      </w:tr>
      <w:tr>
        <w:trPr>
          <w:wAfter w:w="0" w:type="dxa"/>
          <w:trHeight w:hRule="atLeast" w:val="20"/>
        </w:trPr>
        <w:tc>
          <w:tcPr>
            <w:tcW w:w="1353" w:type="dxa"/>
            <w:vMerge w:val="continue"/>
            <w:tcBorders>
              <w:left w:val="none" w:sz="0" w:space="0" w:shadow="0" w:frame="0"/>
            </w:tcBorders>
            <w:shd w:val="nil" w:color="auto" w:fill="auto"/>
          </w:tcPr>
          <w:p>
            <w:pPr>
              <w:jc w:val="center"/>
              <w:rPr>
                <w:sz w:val="15"/>
              </w:rPr>
            </w:pPr>
          </w:p>
        </w:tc>
        <w:tc>
          <w:tcPr>
            <w:tcW w:w="4080" w:type="dxa"/>
            <w:gridSpan w:val="6"/>
            <w:shd w:val="nil" w:color="auto" w:fill="auto"/>
          </w:tcPr>
          <w:p>
            <w:pPr>
              <w:spacing w:before="40" w:after="40"/>
              <w:jc w:val="center"/>
              <w:rPr>
                <w:sz w:val="15"/>
              </w:rPr>
            </w:pPr>
            <w:r>
              <w:rPr>
                <w:sz w:val="15"/>
              </w:rPr>
              <w:t>Republic of Serbia</w:t>
            </w:r>
          </w:p>
        </w:tc>
        <w:tc>
          <w:tcPr>
            <w:tcW w:w="4078" w:type="dxa"/>
            <w:gridSpan w:val="6"/>
          </w:tcPr>
          <w:p>
            <w:pPr>
              <w:spacing w:before="40" w:after="40"/>
              <w:jc w:val="center"/>
              <w:rPr>
                <w:sz w:val="15"/>
              </w:rPr>
            </w:pPr>
            <w:r>
              <w:rPr>
                <w:sz w:val="15"/>
              </w:rPr>
              <w:t>Republic of Serbia</w:t>
            </w:r>
          </w:p>
        </w:tc>
        <w:tc>
          <w:tcPr>
            <w:tcW w:w="739" w:type="dxa"/>
            <w:vMerge w:val="continue"/>
            <w:tcBorders>
              <w:right w:val="none" w:sz="0" w:space="0" w:shadow="0" w:frame="0"/>
            </w:tcBorders>
            <w:vAlign w:val="center"/>
          </w:tcPr>
          <w:p>
            <w:pPr>
              <w:jc w:val="center"/>
              <w:rPr>
                <w:sz w:val="15"/>
              </w:rPr>
            </w:pPr>
          </w:p>
        </w:tc>
      </w:tr>
      <w:tr>
        <w:trPr>
          <w:wAfter w:w="0" w:type="dxa"/>
          <w:trHeight w:hRule="atLeast" w:val="20"/>
        </w:trPr>
        <w:tc>
          <w:tcPr>
            <w:tcW w:w="1353" w:type="dxa"/>
            <w:vMerge w:val="continue"/>
            <w:tcBorders>
              <w:left w:val="none" w:sz="0" w:space="0" w:shadow="0" w:frame="0"/>
              <w:bottom w:val="single" w:sz="4" w:space="0" w:shadow="0" w:frame="0"/>
            </w:tcBorders>
          </w:tcPr>
          <w:p>
            <w:pPr>
              <w:jc w:val="center"/>
              <w:rPr>
                <w:sz w:val="15"/>
              </w:rPr>
            </w:pPr>
          </w:p>
        </w:tc>
        <w:tc>
          <w:tcPr>
            <w:tcW w:w="703" w:type="dxa"/>
            <w:tcBorders>
              <w:bottom w:val="single" w:sz="4" w:space="0" w:shadow="0" w:frame="0"/>
            </w:tcBorders>
            <w:vAlign w:val="center"/>
          </w:tcPr>
          <w:p>
            <w:pPr>
              <w:jc w:val="center"/>
              <w:rPr>
                <w:sz w:val="15"/>
              </w:rPr>
            </w:pPr>
            <w:r>
              <w:rPr>
                <w:sz w:val="15"/>
              </w:rPr>
              <w:t xml:space="preserve">Total </w:t>
            </w:r>
          </w:p>
        </w:tc>
        <w:tc>
          <w:tcPr>
            <w:tcW w:w="633" w:type="dxa"/>
            <w:tcBorders>
              <w:bottom w:val="single" w:sz="4" w:space="0" w:shadow="0" w:frame="0"/>
            </w:tcBorders>
            <w:vAlign w:val="center"/>
          </w:tcPr>
          <w:p>
            <w:pPr>
              <w:jc w:val="center"/>
              <w:rPr>
                <w:sz w:val="15"/>
              </w:rPr>
            </w:pPr>
            <w:r>
              <w:rPr>
                <w:sz w:val="15"/>
              </w:rPr>
              <w:t xml:space="preserve">Region of Belgrade </w:t>
            </w:r>
          </w:p>
        </w:tc>
        <w:tc>
          <w:tcPr>
            <w:tcW w:w="671" w:type="dxa"/>
            <w:tcBorders>
              <w:bottom w:val="single" w:sz="4" w:space="0" w:shadow="0" w:frame="0"/>
            </w:tcBorders>
            <w:vAlign w:val="center"/>
          </w:tcPr>
          <w:p>
            <w:pPr>
              <w:jc w:val="center"/>
              <w:rPr>
                <w:sz w:val="15"/>
              </w:rPr>
            </w:pPr>
            <w:r>
              <w:rPr>
                <w:sz w:val="15"/>
              </w:rPr>
              <w:t>Region of Vojvodina</w:t>
            </w:r>
          </w:p>
        </w:tc>
        <w:tc>
          <w:tcPr>
            <w:tcW w:w="744" w:type="dxa"/>
            <w:tcBorders>
              <w:bottom w:val="single" w:sz="4" w:space="0" w:shadow="0" w:frame="0"/>
            </w:tcBorders>
            <w:vAlign w:val="center"/>
          </w:tcPr>
          <w:p>
            <w:pPr>
              <w:spacing w:before="60" w:after="60"/>
              <w:jc w:val="center"/>
              <w:rPr>
                <w:sz w:val="15"/>
              </w:rPr>
            </w:pPr>
            <w:r>
              <w:rPr>
                <w:sz w:val="15"/>
              </w:rPr>
              <w:t>Region of Šumadija and West Serbia</w:t>
            </w:r>
          </w:p>
        </w:tc>
        <w:tc>
          <w:tcPr>
            <w:tcW w:w="636" w:type="dxa"/>
            <w:tcBorders>
              <w:bottom w:val="single" w:sz="4" w:space="0" w:shadow="0" w:frame="0"/>
            </w:tcBorders>
            <w:vAlign w:val="center"/>
          </w:tcPr>
          <w:p>
            <w:pPr>
              <w:spacing w:before="60" w:after="60"/>
              <w:jc w:val="center"/>
              <w:rPr>
                <w:sz w:val="15"/>
              </w:rPr>
            </w:pPr>
            <w:r>
              <w:rPr>
                <w:sz w:val="15"/>
              </w:rPr>
              <w:t xml:space="preserve">Region of South and East Serbia </w:t>
            </w:r>
          </w:p>
        </w:tc>
        <w:tc>
          <w:tcPr>
            <w:tcW w:w="693" w:type="dxa"/>
            <w:tcBorders>
              <w:bottom w:val="single" w:sz="4" w:space="0" w:shadow="0" w:frame="0"/>
            </w:tcBorders>
            <w:vAlign w:val="center"/>
          </w:tcPr>
          <w:p>
            <w:pPr>
              <w:spacing w:before="60" w:after="60"/>
              <w:jc w:val="center"/>
              <w:rPr>
                <w:sz w:val="15"/>
              </w:rPr>
            </w:pPr>
            <w:r>
              <w:rPr>
                <w:sz w:val="15"/>
              </w:rPr>
              <w:t xml:space="preserve">Region of Kosovo and Metohija </w:t>
            </w:r>
          </w:p>
        </w:tc>
        <w:tc>
          <w:tcPr>
            <w:tcW w:w="703" w:type="dxa"/>
            <w:tcBorders>
              <w:bottom w:val="single" w:sz="4" w:space="0" w:shadow="0" w:frame="0"/>
            </w:tcBorders>
            <w:vAlign w:val="center"/>
          </w:tcPr>
          <w:p>
            <w:pPr>
              <w:jc w:val="center"/>
              <w:rPr>
                <w:sz w:val="15"/>
              </w:rPr>
            </w:pPr>
            <w:r>
              <w:rPr>
                <w:sz w:val="15"/>
              </w:rPr>
              <w:t xml:space="preserve">Total </w:t>
            </w:r>
          </w:p>
        </w:tc>
        <w:tc>
          <w:tcPr>
            <w:tcW w:w="631" w:type="dxa"/>
            <w:tcBorders>
              <w:bottom w:val="single" w:sz="4" w:space="0" w:shadow="0" w:frame="0"/>
            </w:tcBorders>
            <w:vAlign w:val="center"/>
          </w:tcPr>
          <w:p>
            <w:pPr>
              <w:jc w:val="center"/>
              <w:rPr>
                <w:sz w:val="15"/>
              </w:rPr>
            </w:pPr>
            <w:r>
              <w:rPr>
                <w:sz w:val="15"/>
              </w:rPr>
              <w:t xml:space="preserve">Region of Belgrade </w:t>
            </w:r>
          </w:p>
        </w:tc>
        <w:tc>
          <w:tcPr>
            <w:tcW w:w="671" w:type="dxa"/>
            <w:tcBorders>
              <w:bottom w:val="single" w:sz="4" w:space="0" w:shadow="0" w:frame="0"/>
            </w:tcBorders>
            <w:vAlign w:val="center"/>
          </w:tcPr>
          <w:p>
            <w:pPr>
              <w:jc w:val="center"/>
              <w:rPr>
                <w:sz w:val="15"/>
              </w:rPr>
            </w:pPr>
            <w:r>
              <w:rPr>
                <w:sz w:val="15"/>
              </w:rPr>
              <w:t>Region of Vojvodina</w:t>
            </w:r>
          </w:p>
        </w:tc>
        <w:tc>
          <w:tcPr>
            <w:tcW w:w="744" w:type="dxa"/>
            <w:tcBorders>
              <w:bottom w:val="single" w:sz="4" w:space="0" w:shadow="0" w:frame="0"/>
            </w:tcBorders>
            <w:vAlign w:val="center"/>
          </w:tcPr>
          <w:p>
            <w:pPr>
              <w:spacing w:before="60" w:after="60"/>
              <w:jc w:val="center"/>
              <w:rPr>
                <w:sz w:val="15"/>
              </w:rPr>
            </w:pPr>
            <w:r>
              <w:rPr>
                <w:sz w:val="15"/>
              </w:rPr>
              <w:t>Region of Šumadija and West Serbia</w:t>
            </w:r>
          </w:p>
        </w:tc>
        <w:tc>
          <w:tcPr>
            <w:tcW w:w="636" w:type="dxa"/>
            <w:tcBorders>
              <w:bottom w:val="single" w:sz="4" w:space="0" w:shadow="0" w:frame="0"/>
            </w:tcBorders>
            <w:vAlign w:val="center"/>
          </w:tcPr>
          <w:p>
            <w:pPr>
              <w:spacing w:before="60" w:after="60"/>
              <w:jc w:val="center"/>
              <w:rPr>
                <w:sz w:val="15"/>
              </w:rPr>
            </w:pPr>
            <w:r>
              <w:rPr>
                <w:sz w:val="15"/>
              </w:rPr>
              <w:t xml:space="preserve">Region of South and East Serbia </w:t>
            </w:r>
          </w:p>
        </w:tc>
        <w:tc>
          <w:tcPr>
            <w:tcW w:w="693" w:type="dxa"/>
            <w:tcBorders>
              <w:bottom w:val="single" w:sz="4" w:space="0" w:shadow="0" w:frame="0"/>
            </w:tcBorders>
            <w:vAlign w:val="center"/>
          </w:tcPr>
          <w:p>
            <w:pPr>
              <w:spacing w:before="60" w:after="60"/>
              <w:jc w:val="center"/>
              <w:rPr>
                <w:sz w:val="15"/>
              </w:rPr>
            </w:pPr>
            <w:r>
              <w:rPr>
                <w:sz w:val="15"/>
              </w:rPr>
              <w:t xml:space="preserve">Region of Kosovo and Metohija </w:t>
            </w:r>
          </w:p>
        </w:tc>
        <w:tc>
          <w:tcPr>
            <w:tcW w:w="739" w:type="dxa"/>
            <w:vMerge w:val="continue"/>
            <w:tcBorders>
              <w:bottom w:val="single" w:sz="4" w:space="0" w:shadow="0" w:frame="0"/>
              <w:right w:val="none" w:sz="0" w:space="0" w:shadow="0" w:frame="0"/>
            </w:tcBorders>
            <w:vAlign w:val="center"/>
          </w:tcPr>
          <w:p>
            <w:pPr>
              <w:jc w:val="center"/>
              <w:rPr>
                <w:sz w:val="15"/>
              </w:rPr>
            </w:pP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Mopeds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6250</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1378</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1899</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1375</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1583</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15</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6622</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1369</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2090</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1446</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1707</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10</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106.0</w:t>
            </w: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Motorcycles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4779</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1191</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1320</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1167</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1057</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44</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5109</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1008</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1543</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1356</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1181</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21</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106.9</w:t>
            </w: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Passengers cars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122498</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37469</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31528</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28651</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22663</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2187</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129169</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35731</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35960</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32799</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23767</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912</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105.4</w:t>
            </w: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Buses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607</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321</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101</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88</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94</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3</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463</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195</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101</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94</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70</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3</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76.3</w:t>
            </w: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Lorries (trucks)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8677</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3495</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1785</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2048</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1313</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36</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7418</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2645</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1810</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1899</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1047</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17</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85.5</w:t>
            </w: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Road tractors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2309</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583</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622</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780</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316</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8</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2837</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737</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732</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926</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432</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10</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122.9</w:t>
            </w: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Trailers and semi-trailers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18614</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1580</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7155</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5942</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3895</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42</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13877</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1294</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5861</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4173</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2520</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29</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74.6</w:t>
            </w:r>
          </w:p>
        </w:tc>
      </w:tr>
      <w:tr>
        <w:trPr>
          <w:wAfter w:w="0" w:type="dxa"/>
          <w:trHeight w:hRule="atLeast" w:val="20"/>
        </w:trPr>
        <w:tc>
          <w:tcPr>
            <w:tcW w:w="1353"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Special purpose motor vehicles</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1048</w:t>
            </w:r>
          </w:p>
        </w:tc>
        <w:tc>
          <w:tcPr>
            <w:tcW w:w="63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228</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573</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167</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79</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w:t>
            </w:r>
          </w:p>
        </w:tc>
        <w:tc>
          <w:tcPr>
            <w:tcW w:w="70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1496</w:t>
            </w:r>
          </w:p>
        </w:tc>
        <w:tc>
          <w:tcPr>
            <w:tcW w:w="63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237</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865</w:t>
            </w:r>
          </w:p>
        </w:tc>
        <w:tc>
          <w:tcPr>
            <w:tcW w:w="744"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230</w:t>
            </w:r>
          </w:p>
        </w:tc>
        <w:tc>
          <w:tcPr>
            <w:tcW w:w="63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162</w:t>
            </w:r>
          </w:p>
        </w:tc>
        <w:tc>
          <w:tcPr>
            <w:tcW w:w="693"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2</w:t>
            </w:r>
          </w:p>
        </w:tc>
        <w:tc>
          <w:tcPr>
            <w:tcW w:w="739"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142.7</w:t>
            </w:r>
          </w:p>
        </w:tc>
      </w:tr>
    </w:tbl>
    <w:p>
      <w:pPr>
        <w:jc w:val="center"/>
        <w:rPr>
          <w:sz w:val="6"/>
        </w:rPr>
      </w:pPr>
    </w:p>
    <w:p>
      <w:pPr>
        <w:jc w:val="both"/>
        <w:rPr>
          <w:sz w:val="10"/>
        </w:rPr>
      </w:pPr>
    </w:p>
    <w:p>
      <w:pPr>
        <w:rPr>
          <w:sz w:val="14"/>
        </w:rPr>
      </w:pPr>
      <w:r>
        <w:rPr>
          <w:sz w:val="14"/>
        </w:rPr>
        <w:t>Source: Ministry of the Interior of the Republic of Serbia.</w:t>
      </w:r>
    </w:p>
    <w:p>
      <w:pPr>
        <w:ind w:hanging="170" w:left="170"/>
        <w:jc w:val="both"/>
        <w:rPr>
          <w:sz w:val="14"/>
        </w:rPr>
      </w:pPr>
      <w:r>
        <w:rPr>
          <w:sz w:val="14"/>
          <w:vertAlign w:val="superscript"/>
        </w:rPr>
        <w:t>1)</w:t>
      </w:r>
      <w:r>
        <w:rPr>
          <w:sz w:val="14"/>
        </w:rPr>
        <w:t xml:space="preserve"> Vehicles with temporary license plates, vehicles of the Ministry of the interior, vehicles of the military forces of the Republic of Serbia are not included.</w:t>
      </w:r>
    </w:p>
    <w:p>
      <w:pPr>
        <w:tabs>
          <w:tab w:val="left" w:pos="3969" w:leader="none"/>
        </w:tabs>
        <w:jc w:val="center"/>
        <w:rPr>
          <w:b w:val="1"/>
        </w:rPr>
      </w:pPr>
    </w:p>
    <w:p>
      <w:pPr>
        <w:jc w:val="center"/>
      </w:pPr>
      <w:r>
        <w:rPr>
          <w:b w:val="1"/>
        </w:rPr>
        <w:t>3</w:t>
      </w:r>
      <w:r>
        <w:rPr>
          <w:b w:val="1"/>
        </w:rPr>
        <w:t xml:space="preserve">. </w:t>
      </w:r>
      <w:r>
        <w:rPr>
          <w:b w:val="1"/>
        </w:rPr>
        <w:t>Number of registered r</w:t>
      </w:r>
      <w:r>
        <w:rPr>
          <w:b w:val="1"/>
        </w:rPr>
        <w:t>oad motor vehicles and trailers of</w:t>
      </w:r>
      <w:r>
        <w:rPr>
          <w:b w:val="1"/>
        </w:rPr>
        <w:t xml:space="preserve"> current production year </w:t>
      </w:r>
      <w:r>
        <w:rPr>
          <w:b w:val="1"/>
          <w:vertAlign w:val="superscript"/>
        </w:rPr>
        <w:t>1)</w:t>
      </w:r>
    </w:p>
    <w:p>
      <w:pPr>
        <w:jc w:val="center"/>
        <w:rPr>
          <w:sz w:val="8"/>
        </w:rPr>
      </w:pPr>
    </w:p>
    <w:tbl>
      <w:tblPr>
        <w:tblStyle w:val="T3"/>
        <w:tblW w:w="0" w:type="auto"/>
        <w:jc w:val="center"/>
        <w:tblLayout w:type="autofit"/>
        <w:tblCellMar>
          <w:left w:w="28" w:type="dxa"/>
          <w:right w:w="28" w:type="dxa"/>
        </w:tblCellMar>
      </w:tblPr>
      <w:tblGrid/>
      <w:tr>
        <w:trPr>
          <w:wAfter w:w="0" w:type="dxa"/>
          <w:trHeight w:hRule="atLeast" w:val="20"/>
        </w:trPr>
        <w:tc>
          <w:tcPr>
            <w:tcW w:w="1302" w:type="dxa"/>
            <w:vMerge w:val="restart"/>
            <w:tcBorders>
              <w:left w:val="none" w:sz="0" w:space="0" w:shadow="0" w:frame="0"/>
            </w:tcBorders>
            <w:shd w:val="nil" w:color="auto" w:fill="auto"/>
          </w:tcPr>
          <w:p>
            <w:pPr>
              <w:spacing w:before="40" w:after="40"/>
              <w:jc w:val="center"/>
              <w:rPr>
                <w:sz w:val="15"/>
              </w:rPr>
            </w:pPr>
          </w:p>
        </w:tc>
        <w:tc>
          <w:tcPr>
            <w:tcW w:w="4043" w:type="dxa"/>
            <w:gridSpan w:val="6"/>
            <w:shd w:val="nil" w:color="auto" w:fill="auto"/>
          </w:tcPr>
          <w:p>
            <w:pPr>
              <w:spacing w:before="40" w:after="40"/>
              <w:jc w:val="center"/>
              <w:rPr>
                <w:sz w:val="15"/>
              </w:rPr>
            </w:pPr>
            <w:r>
              <w:rPr>
                <w:sz w:val="15"/>
              </w:rPr>
              <w:t xml:space="preserve">2011 </w:t>
            </w:r>
          </w:p>
        </w:tc>
        <w:tc>
          <w:tcPr>
            <w:tcW w:w="4223" w:type="dxa"/>
            <w:gridSpan w:val="6"/>
          </w:tcPr>
          <w:p>
            <w:pPr>
              <w:spacing w:before="40" w:after="40"/>
              <w:jc w:val="center"/>
              <w:rPr>
                <w:sz w:val="15"/>
              </w:rPr>
            </w:pPr>
            <w:r>
              <w:rPr>
                <w:sz w:val="15"/>
              </w:rPr>
              <w:t>2012</w:t>
            </w:r>
          </w:p>
        </w:tc>
        <w:tc>
          <w:tcPr>
            <w:tcW w:w="693" w:type="dxa"/>
            <w:vMerge w:val="restart"/>
            <w:tcBorders>
              <w:right w:val="none" w:sz="0" w:space="0" w:shadow="0" w:frame="0"/>
            </w:tcBorders>
            <w:vAlign w:val="center"/>
          </w:tcPr>
          <w:p>
            <w:pPr>
              <w:spacing w:before="40" w:after="40"/>
              <w:jc w:val="center"/>
              <w:rPr>
                <w:sz w:val="15"/>
              </w:rPr>
            </w:pPr>
          </w:p>
          <w:p>
            <w:pPr>
              <w:spacing w:before="40" w:after="40"/>
              <w:jc w:val="center"/>
              <w:rPr>
                <w:sz w:val="15"/>
              </w:rPr>
            </w:pPr>
          </w:p>
          <w:p>
            <w:pPr>
              <w:spacing w:before="40" w:after="40"/>
              <w:jc w:val="center"/>
              <w:rPr>
                <w:sz w:val="15"/>
              </w:rPr>
            </w:pPr>
            <w:r>
              <w:rPr>
                <w:sz w:val="15"/>
              </w:rPr>
              <w:t xml:space="preserve"> 2012</w:t>
              <w:br w:type="textWrapping"/>
            </w:r>
          </w:p>
          <w:p>
            <w:pPr>
              <w:spacing w:before="40" w:after="40"/>
              <w:jc w:val="center"/>
              <w:rPr>
                <w:sz w:val="15"/>
              </w:rPr>
            </w:pPr>
            <w:r>
              <w:rPr>
                <w:sz w:val="15"/>
              </w:rPr>
              <w:t>2011</w:t>
            </w:r>
          </w:p>
        </w:tc>
      </w:tr>
      <w:tr>
        <w:trPr>
          <w:wAfter w:w="0" w:type="dxa"/>
          <w:trHeight w:hRule="atLeast" w:val="20"/>
        </w:trPr>
        <w:tc>
          <w:tcPr>
            <w:tcW w:w="1302" w:type="dxa"/>
            <w:vMerge w:val="continue"/>
            <w:tcBorders>
              <w:left w:val="none" w:sz="0" w:space="0" w:shadow="0" w:frame="0"/>
            </w:tcBorders>
            <w:shd w:val="nil" w:color="auto" w:fill="auto"/>
          </w:tcPr>
          <w:p>
            <w:pPr>
              <w:spacing w:before="40" w:after="40"/>
              <w:jc w:val="center"/>
              <w:rPr>
                <w:sz w:val="15"/>
              </w:rPr>
            </w:pPr>
          </w:p>
        </w:tc>
        <w:tc>
          <w:tcPr>
            <w:tcW w:w="4043" w:type="dxa"/>
            <w:gridSpan w:val="6"/>
            <w:shd w:val="nil" w:color="auto" w:fill="auto"/>
          </w:tcPr>
          <w:p>
            <w:pPr>
              <w:spacing w:before="40" w:after="40"/>
              <w:jc w:val="center"/>
              <w:rPr>
                <w:sz w:val="15"/>
              </w:rPr>
            </w:pPr>
            <w:r>
              <w:rPr>
                <w:sz w:val="15"/>
              </w:rPr>
              <w:t>Republic of Serbia</w:t>
            </w:r>
          </w:p>
        </w:tc>
        <w:tc>
          <w:tcPr>
            <w:tcW w:w="4223" w:type="dxa"/>
            <w:gridSpan w:val="6"/>
          </w:tcPr>
          <w:p>
            <w:pPr>
              <w:spacing w:before="40" w:after="40"/>
              <w:jc w:val="center"/>
              <w:rPr>
                <w:sz w:val="15"/>
              </w:rPr>
            </w:pPr>
            <w:r>
              <w:rPr>
                <w:sz w:val="15"/>
              </w:rPr>
              <w:t>Republic of Serbia</w:t>
            </w:r>
          </w:p>
        </w:tc>
        <w:tc>
          <w:tcPr>
            <w:tcW w:w="693" w:type="dxa"/>
            <w:vMerge w:val="continue"/>
            <w:tcBorders>
              <w:right w:val="none" w:sz="0" w:space="0" w:shadow="0" w:frame="0"/>
            </w:tcBorders>
            <w:vAlign w:val="center"/>
          </w:tcPr>
          <w:p>
            <w:pPr>
              <w:spacing w:before="40" w:after="40"/>
              <w:jc w:val="center"/>
              <w:rPr>
                <w:sz w:val="15"/>
              </w:rPr>
            </w:pPr>
          </w:p>
        </w:tc>
      </w:tr>
      <w:tr>
        <w:trPr>
          <w:wAfter w:w="0" w:type="dxa"/>
          <w:trHeight w:hRule="atLeast" w:val="20"/>
        </w:trPr>
        <w:tc>
          <w:tcPr>
            <w:tcW w:w="1302" w:type="dxa"/>
            <w:vMerge w:val="continue"/>
            <w:tcBorders>
              <w:left w:val="none" w:sz="0" w:space="0" w:shadow="0" w:frame="0"/>
              <w:bottom w:val="single" w:sz="4" w:space="0" w:shadow="0" w:frame="0"/>
            </w:tcBorders>
          </w:tcPr>
          <w:p>
            <w:pPr>
              <w:spacing w:before="40" w:after="40"/>
              <w:jc w:val="center"/>
              <w:rPr>
                <w:sz w:val="15"/>
              </w:rPr>
            </w:pPr>
          </w:p>
        </w:tc>
        <w:tc>
          <w:tcPr>
            <w:tcW w:w="673" w:type="dxa"/>
            <w:tcBorders>
              <w:bottom w:val="single" w:sz="4" w:space="0" w:shadow="0" w:frame="0"/>
            </w:tcBorders>
            <w:vAlign w:val="center"/>
          </w:tcPr>
          <w:p>
            <w:pPr>
              <w:jc w:val="center"/>
              <w:rPr>
                <w:sz w:val="15"/>
              </w:rPr>
            </w:pPr>
            <w:r>
              <w:rPr>
                <w:sz w:val="15"/>
              </w:rPr>
              <w:t xml:space="preserve">Total </w:t>
            </w:r>
          </w:p>
        </w:tc>
        <w:tc>
          <w:tcPr>
            <w:tcW w:w="655" w:type="dxa"/>
            <w:tcBorders>
              <w:bottom w:val="single" w:sz="4" w:space="0" w:shadow="0" w:frame="0"/>
            </w:tcBorders>
            <w:vAlign w:val="center"/>
          </w:tcPr>
          <w:p>
            <w:pPr>
              <w:jc w:val="center"/>
              <w:rPr>
                <w:sz w:val="15"/>
              </w:rPr>
            </w:pPr>
            <w:r>
              <w:rPr>
                <w:sz w:val="15"/>
              </w:rPr>
              <w:t xml:space="preserve">Region of Belgrade </w:t>
            </w:r>
          </w:p>
        </w:tc>
        <w:tc>
          <w:tcPr>
            <w:tcW w:w="671" w:type="dxa"/>
            <w:tcBorders>
              <w:bottom w:val="single" w:sz="4" w:space="0" w:shadow="0" w:frame="0"/>
            </w:tcBorders>
            <w:vAlign w:val="center"/>
          </w:tcPr>
          <w:p>
            <w:pPr>
              <w:jc w:val="center"/>
              <w:rPr>
                <w:sz w:val="15"/>
              </w:rPr>
            </w:pPr>
            <w:r>
              <w:rPr>
                <w:sz w:val="15"/>
              </w:rPr>
              <w:t>Region of Vojvodina</w:t>
            </w:r>
          </w:p>
        </w:tc>
        <w:tc>
          <w:tcPr>
            <w:tcW w:w="735" w:type="dxa"/>
            <w:tcBorders>
              <w:bottom w:val="single" w:sz="4" w:space="0" w:shadow="0" w:frame="0"/>
            </w:tcBorders>
            <w:vAlign w:val="center"/>
          </w:tcPr>
          <w:p>
            <w:pPr>
              <w:spacing w:before="60" w:after="60"/>
              <w:jc w:val="center"/>
              <w:rPr>
                <w:sz w:val="15"/>
              </w:rPr>
            </w:pPr>
            <w:r>
              <w:rPr>
                <w:sz w:val="15"/>
              </w:rPr>
              <w:t>Region of Šumadija and West Serbia</w:t>
            </w:r>
          </w:p>
        </w:tc>
        <w:tc>
          <w:tcPr>
            <w:tcW w:w="625" w:type="dxa"/>
            <w:tcBorders>
              <w:bottom w:val="single" w:sz="4" w:space="0" w:shadow="0" w:frame="0"/>
            </w:tcBorders>
            <w:vAlign w:val="center"/>
          </w:tcPr>
          <w:p>
            <w:pPr>
              <w:spacing w:before="60" w:after="60"/>
              <w:jc w:val="center"/>
              <w:rPr>
                <w:sz w:val="15"/>
              </w:rPr>
            </w:pPr>
            <w:r>
              <w:rPr>
                <w:sz w:val="15"/>
              </w:rPr>
              <w:t xml:space="preserve">Region of South and East Serbia </w:t>
            </w:r>
          </w:p>
        </w:tc>
        <w:tc>
          <w:tcPr>
            <w:tcW w:w="684" w:type="dxa"/>
            <w:tcBorders>
              <w:bottom w:val="single" w:sz="4" w:space="0" w:shadow="0" w:frame="0"/>
            </w:tcBorders>
            <w:vAlign w:val="center"/>
          </w:tcPr>
          <w:p>
            <w:pPr>
              <w:spacing w:before="60" w:after="60"/>
              <w:jc w:val="center"/>
              <w:rPr>
                <w:sz w:val="15"/>
              </w:rPr>
            </w:pPr>
            <w:r>
              <w:rPr>
                <w:sz w:val="15"/>
              </w:rPr>
              <w:t xml:space="preserve">Region of Kosovo and Metohija </w:t>
            </w:r>
          </w:p>
        </w:tc>
        <w:tc>
          <w:tcPr>
            <w:tcW w:w="672" w:type="dxa"/>
            <w:tcBorders>
              <w:bottom w:val="single" w:sz="4" w:space="0" w:shadow="0" w:frame="0"/>
            </w:tcBorders>
            <w:vAlign w:val="center"/>
          </w:tcPr>
          <w:p>
            <w:pPr>
              <w:jc w:val="center"/>
              <w:rPr>
                <w:sz w:val="15"/>
              </w:rPr>
            </w:pPr>
            <w:r>
              <w:rPr>
                <w:sz w:val="15"/>
              </w:rPr>
              <w:t xml:space="preserve">Total </w:t>
            </w:r>
          </w:p>
        </w:tc>
        <w:tc>
          <w:tcPr>
            <w:tcW w:w="655" w:type="dxa"/>
            <w:tcBorders>
              <w:bottom w:val="single" w:sz="4" w:space="0" w:shadow="0" w:frame="0"/>
            </w:tcBorders>
            <w:vAlign w:val="center"/>
          </w:tcPr>
          <w:p>
            <w:pPr>
              <w:jc w:val="center"/>
              <w:rPr>
                <w:sz w:val="15"/>
              </w:rPr>
            </w:pPr>
            <w:r>
              <w:rPr>
                <w:sz w:val="15"/>
              </w:rPr>
              <w:t xml:space="preserve">Region of Belgrade </w:t>
            </w:r>
          </w:p>
        </w:tc>
        <w:tc>
          <w:tcPr>
            <w:tcW w:w="671" w:type="dxa"/>
            <w:tcBorders>
              <w:bottom w:val="single" w:sz="4" w:space="0" w:shadow="0" w:frame="0"/>
            </w:tcBorders>
            <w:vAlign w:val="center"/>
          </w:tcPr>
          <w:p>
            <w:pPr>
              <w:jc w:val="center"/>
              <w:rPr>
                <w:sz w:val="15"/>
              </w:rPr>
            </w:pPr>
            <w:r>
              <w:rPr>
                <w:sz w:val="15"/>
              </w:rPr>
              <w:t>Region of Vojvodina</w:t>
            </w:r>
          </w:p>
        </w:tc>
        <w:tc>
          <w:tcPr>
            <w:tcW w:w="735" w:type="dxa"/>
            <w:tcBorders>
              <w:bottom w:val="single" w:sz="4" w:space="0" w:shadow="0" w:frame="0"/>
            </w:tcBorders>
            <w:vAlign w:val="center"/>
          </w:tcPr>
          <w:p>
            <w:pPr>
              <w:spacing w:before="60" w:after="60"/>
              <w:jc w:val="center"/>
              <w:rPr>
                <w:sz w:val="15"/>
              </w:rPr>
            </w:pPr>
            <w:r>
              <w:rPr>
                <w:sz w:val="15"/>
              </w:rPr>
              <w:t>Region of Šumadija and West Serbia</w:t>
            </w:r>
          </w:p>
        </w:tc>
        <w:tc>
          <w:tcPr>
            <w:tcW w:w="625" w:type="dxa"/>
            <w:tcBorders>
              <w:bottom w:val="single" w:sz="4" w:space="0" w:shadow="0" w:frame="0"/>
            </w:tcBorders>
            <w:vAlign w:val="center"/>
          </w:tcPr>
          <w:p>
            <w:pPr>
              <w:spacing w:before="60" w:after="60"/>
              <w:jc w:val="center"/>
              <w:rPr>
                <w:sz w:val="15"/>
              </w:rPr>
            </w:pPr>
            <w:r>
              <w:rPr>
                <w:sz w:val="15"/>
              </w:rPr>
              <w:t xml:space="preserve">Region of South and East Serbia </w:t>
            </w:r>
          </w:p>
        </w:tc>
        <w:tc>
          <w:tcPr>
            <w:tcW w:w="865" w:type="dxa"/>
            <w:tcBorders>
              <w:bottom w:val="single" w:sz="4" w:space="0" w:shadow="0" w:frame="0"/>
            </w:tcBorders>
            <w:vAlign w:val="center"/>
          </w:tcPr>
          <w:p>
            <w:pPr>
              <w:spacing w:before="60" w:after="60"/>
              <w:jc w:val="center"/>
              <w:rPr>
                <w:sz w:val="15"/>
              </w:rPr>
            </w:pPr>
            <w:r>
              <w:rPr>
                <w:sz w:val="15"/>
              </w:rPr>
              <w:t xml:space="preserve">Region of Kosovo and Metohija </w:t>
            </w:r>
          </w:p>
        </w:tc>
        <w:tc>
          <w:tcPr>
            <w:tcW w:w="693" w:type="dxa"/>
            <w:vMerge w:val="continue"/>
            <w:tcBorders>
              <w:bottom w:val="single" w:sz="4" w:space="0" w:shadow="0" w:frame="0"/>
              <w:right w:val="none" w:sz="0" w:space="0" w:shadow="0" w:frame="0"/>
            </w:tcBorders>
            <w:vAlign w:val="center"/>
          </w:tcPr>
          <w:p>
            <w:pPr>
              <w:spacing w:before="40" w:after="40"/>
              <w:jc w:val="center"/>
              <w:rPr>
                <w:sz w:val="15"/>
              </w:rPr>
            </w:pP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Mopeds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1987</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456</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597</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399</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527</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8</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1143</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225</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349</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243</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325</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57.5</w:t>
            </w: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Motorcycles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449</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233</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105</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54</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40</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17</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376</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142</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131</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43</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57</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3</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83.7</w:t>
            </w: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Passengers cars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22181</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13273</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4208</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2248</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1895</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557</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11487</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7172</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2135</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1179</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922</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79</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51.8</w:t>
            </w: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Buses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283</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227</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16</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35</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144</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101</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23</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14</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50.9</w:t>
            </w: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Lorries (trucks)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2739</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1877</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430</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244</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184</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4</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1279</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850</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232</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137</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60</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46.7</w:t>
            </w: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Road tractors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338</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183</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51</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62</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42</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420</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239</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86</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76</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19</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124.3</w:t>
            </w: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Trailers and semi-trailers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3245</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536</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1094</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1169</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437</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9</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3613</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580</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953</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1507</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567</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6</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111.3</w:t>
            </w:r>
          </w:p>
        </w:tc>
      </w:tr>
      <w:tr>
        <w:trPr>
          <w:wAfter w:w="0" w:type="dxa"/>
        </w:trPr>
        <w:tc>
          <w:tcPr>
            <w:tcW w:w="1302" w:type="dxa"/>
            <w:tcBorders>
              <w:top w:val="none" w:sz="0" w:space="0" w:shadow="0" w:frame="0"/>
              <w:left w:val="none" w:sz="0" w:space="0" w:shadow="0" w:frame="0"/>
              <w:bottom w:val="none" w:sz="0" w:space="0" w:shadow="0" w:frame="0"/>
              <w:right w:val="single" w:sz="4" w:space="0" w:shadow="0" w:frame="0"/>
            </w:tcBorders>
            <w:vAlign w:val="center"/>
          </w:tcPr>
          <w:p>
            <w:pPr>
              <w:rPr>
                <w:sz w:val="15"/>
              </w:rPr>
            </w:pPr>
            <w:r>
              <w:rPr>
                <w:sz w:val="15"/>
              </w:rPr>
              <w:t>Special purpose motor vehicles</w:t>
            </w:r>
          </w:p>
        </w:tc>
        <w:tc>
          <w:tcPr>
            <w:tcW w:w="67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118</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37</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66</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7</w:t>
            </w:r>
          </w:p>
        </w:tc>
        <w:tc>
          <w:tcPr>
            <w:tcW w:w="684"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w:t>
            </w:r>
          </w:p>
        </w:tc>
        <w:tc>
          <w:tcPr>
            <w:tcW w:w="672"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133</w:t>
            </w:r>
          </w:p>
        </w:tc>
        <w:tc>
          <w:tcPr>
            <w:tcW w:w="65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31</w:t>
            </w:r>
          </w:p>
        </w:tc>
        <w:tc>
          <w:tcPr>
            <w:tcW w:w="671"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85</w:t>
            </w:r>
          </w:p>
        </w:tc>
        <w:tc>
          <w:tcPr>
            <w:tcW w:w="73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w:t>
            </w:r>
          </w:p>
        </w:tc>
        <w:tc>
          <w:tcPr>
            <w:tcW w:w="6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10</w:t>
            </w:r>
          </w:p>
        </w:tc>
        <w:tc>
          <w:tcPr>
            <w:tcW w:w="865"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w:t>
            </w:r>
          </w:p>
        </w:tc>
        <w:tc>
          <w:tcPr>
            <w:tcW w:w="693"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112.7</w:t>
            </w:r>
          </w:p>
        </w:tc>
      </w:tr>
    </w:tbl>
    <w:p>
      <w:pPr>
        <w:jc w:val="center"/>
        <w:rPr>
          <w:sz w:val="6"/>
        </w:rPr>
      </w:pPr>
    </w:p>
    <w:p>
      <w:pPr>
        <w:jc w:val="both"/>
        <w:rPr>
          <w:sz w:val="10"/>
        </w:rPr>
      </w:pPr>
    </w:p>
    <w:p>
      <w:pPr>
        <w:rPr>
          <w:sz w:val="14"/>
        </w:rPr>
      </w:pPr>
      <w:r>
        <w:rPr>
          <w:sz w:val="14"/>
        </w:rPr>
        <w:t>Source: Ministry of the Interior of the Republic of Serbia.</w:t>
      </w:r>
    </w:p>
    <w:p>
      <w:pPr>
        <w:ind w:hanging="170" w:left="170"/>
        <w:jc w:val="both"/>
        <w:rPr>
          <w:sz w:val="14"/>
        </w:rPr>
      </w:pPr>
      <w:r>
        <w:rPr>
          <w:sz w:val="14"/>
          <w:vertAlign w:val="superscript"/>
        </w:rPr>
        <w:t>1)</w:t>
      </w:r>
      <w:r>
        <w:rPr>
          <w:sz w:val="14"/>
        </w:rPr>
        <w:t xml:space="preserve"> Vehicles with temporary license plates, vehicles of the Ministry of the interior, vehicles of the military forces of the Republic of Serbia are not included.</w:t>
      </w:r>
    </w:p>
    <w:p>
      <w:pPr>
        <w:tabs>
          <w:tab w:val="left" w:pos="3969" w:leader="none"/>
        </w:tabs>
        <w:jc w:val="center"/>
        <w:rPr>
          <w:b w:val="1"/>
          <w:sz w:val="16"/>
        </w:rPr>
      </w:pPr>
    </w:p>
    <w:p>
      <w:pPr>
        <w:tabs>
          <w:tab w:val="left" w:pos="3969" w:leader="none"/>
        </w:tabs>
        <w:jc w:val="center"/>
        <w:rPr>
          <w:b w:val="1"/>
          <w:vertAlign w:val="superscript"/>
        </w:rPr>
      </w:pPr>
      <w:r>
        <w:rPr>
          <w:b w:val="1"/>
        </w:rPr>
        <w:t>4</w:t>
      </w:r>
      <w:r>
        <w:rPr>
          <w:b w:val="1"/>
        </w:rPr>
        <w:t xml:space="preserve">. Number of road traffic accidents </w:t>
      </w:r>
      <w:r>
        <w:rPr>
          <w:b w:val="1"/>
          <w:vertAlign w:val="superscript"/>
        </w:rPr>
        <w:t>1)</w:t>
      </w:r>
    </w:p>
    <w:p>
      <w:pPr>
        <w:tabs>
          <w:tab w:val="left" w:pos="3969" w:leader="none"/>
        </w:tabs>
        <w:jc w:val="center"/>
        <w:rPr>
          <w:b w:val="1"/>
          <w:sz w:val="8"/>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28" w:type="dxa"/>
          <w:bottom w:w="0" w:type="dxa"/>
          <w:right w:w="28" w:type="dxa"/>
        </w:tblCellMar>
      </w:tblPr>
      <w:tblGrid/>
      <w:tr>
        <w:trPr>
          <w:gridAfter w:val="1"/>
          <w:wAfter w:w="11" w:type="dxa"/>
        </w:trPr>
        <w:tc>
          <w:tcPr>
            <w:tcW w:w="1413" w:type="dxa"/>
            <w:vMerge w:val="restart"/>
            <w:tcBorders>
              <w:top w:val="single" w:sz="4" w:space="0" w:shadow="0" w:frame="0"/>
              <w:left w:val="none" w:sz="0" w:space="0" w:shadow="0" w:frame="0"/>
              <w:bottom w:val="single" w:sz="4" w:space="0" w:shadow="0" w:frame="0"/>
              <w:right w:val="single" w:sz="4" w:space="0" w:shadow="0" w:frame="0"/>
            </w:tcBorders>
          </w:tcPr>
          <w:p>
            <w:pPr>
              <w:spacing w:before="40" w:after="40"/>
              <w:rPr>
                <w:sz w:val="15"/>
              </w:rPr>
            </w:pPr>
          </w:p>
        </w:tc>
        <w:tc>
          <w:tcPr>
            <w:tcW w:w="2740" w:type="dxa"/>
            <w:gridSpan w:val="4"/>
            <w:tcBorders>
              <w:top w:val="single" w:sz="4" w:space="0" w:shadow="0" w:frame="0"/>
              <w:left w:val="single" w:sz="4" w:space="0" w:shadow="0" w:frame="0"/>
              <w:right w:val="single" w:sz="4" w:space="0" w:shadow="0" w:frame="0"/>
            </w:tcBorders>
            <w:vAlign w:val="center"/>
          </w:tcPr>
          <w:p>
            <w:pPr>
              <w:tabs>
                <w:tab w:val="left" w:pos="3969" w:leader="none"/>
              </w:tabs>
              <w:spacing w:before="40" w:after="40"/>
              <w:ind w:left="-57" w:right="-57"/>
              <w:jc w:val="center"/>
              <w:rPr>
                <w:sz w:val="15"/>
              </w:rPr>
            </w:pPr>
            <w:r>
              <w:rPr>
                <w:sz w:val="15"/>
              </w:rPr>
              <w:t xml:space="preserve">Traffic accidents </w:t>
            </w:r>
          </w:p>
        </w:tc>
        <w:tc>
          <w:tcPr>
            <w:tcW w:w="2979" w:type="dxa"/>
            <w:gridSpan w:val="3"/>
            <w:tcBorders>
              <w:top w:val="single" w:sz="4" w:space="0" w:shadow="0" w:frame="0"/>
              <w:left w:val="single" w:sz="4" w:space="0" w:shadow="0" w:frame="0"/>
              <w:right w:val="single" w:sz="4" w:space="0" w:shadow="0" w:frame="0"/>
            </w:tcBorders>
          </w:tcPr>
          <w:p>
            <w:pPr>
              <w:tabs>
                <w:tab w:val="left" w:pos="3969" w:leader="none"/>
              </w:tabs>
              <w:spacing w:before="40" w:after="40"/>
              <w:ind w:left="-57" w:right="-57"/>
              <w:jc w:val="center"/>
              <w:rPr>
                <w:sz w:val="15"/>
              </w:rPr>
            </w:pPr>
            <w:r>
              <w:rPr>
                <w:sz w:val="15"/>
              </w:rPr>
              <w:t>Within built-up areas</w:t>
            </w:r>
          </w:p>
        </w:tc>
        <w:tc>
          <w:tcPr>
            <w:tcW w:w="3063" w:type="dxa"/>
            <w:gridSpan w:val="3"/>
            <w:tcBorders>
              <w:top w:val="single" w:sz="4" w:space="0" w:shadow="0" w:frame="0"/>
              <w:left w:val="single" w:sz="4" w:space="0" w:shadow="0" w:frame="0"/>
              <w:right w:val="none" w:sz="0" w:space="0" w:shadow="0" w:frame="0"/>
            </w:tcBorders>
          </w:tcPr>
          <w:p>
            <w:pPr>
              <w:tabs>
                <w:tab w:val="left" w:pos="3969" w:leader="none"/>
              </w:tabs>
              <w:spacing w:before="40" w:after="40"/>
              <w:ind w:left="-57" w:right="-57"/>
              <w:jc w:val="center"/>
              <w:rPr>
                <w:sz w:val="15"/>
              </w:rPr>
            </w:pPr>
            <w:r>
              <w:rPr>
                <w:sz w:val="15"/>
              </w:rPr>
              <w:t>Outside built-up areas</w:t>
            </w:r>
          </w:p>
        </w:tc>
      </w:tr>
      <w:tr>
        <w:trPr>
          <w:gridAfter w:val="1"/>
          <w:wAfter w:w="11" w:type="dxa"/>
        </w:trPr>
        <w:tc>
          <w:tcPr>
            <w:tcW w:w="1413" w:type="dxa"/>
            <w:vMerge w:val="continue"/>
            <w:tcBorders>
              <w:top w:val="none" w:sz="0" w:space="0" w:shadow="0" w:frame="0"/>
              <w:left w:val="none" w:sz="0" w:space="0" w:shadow="0" w:frame="0"/>
              <w:bottom w:val="single" w:sz="4" w:space="0" w:shadow="0" w:frame="0"/>
              <w:right w:val="single" w:sz="4" w:space="0" w:shadow="0" w:frame="0"/>
            </w:tcBorders>
          </w:tcPr>
          <w:p>
            <w:pPr>
              <w:spacing w:before="40" w:after="40"/>
              <w:rPr>
                <w:sz w:val="15"/>
              </w:rPr>
            </w:pPr>
          </w:p>
        </w:tc>
        <w:tc>
          <w:tcPr>
            <w:tcW w:w="865" w:type="dxa"/>
            <w:tcBorders>
              <w:left w:val="single" w:sz="4" w:space="0" w:shadow="0" w:frame="0"/>
              <w:bottom w:val="single" w:sz="4" w:space="0" w:shadow="0" w:frame="0"/>
              <w:right w:val="single" w:sz="4" w:space="0" w:shadow="0" w:frame="0"/>
            </w:tcBorders>
            <w:vAlign w:val="center"/>
          </w:tcPr>
          <w:p>
            <w:pPr>
              <w:tabs>
                <w:tab w:val="left" w:pos="3969" w:leader="none"/>
              </w:tabs>
              <w:spacing w:before="40" w:after="40"/>
              <w:ind w:left="-57" w:right="-57"/>
              <w:jc w:val="center"/>
              <w:rPr>
                <w:sz w:val="15"/>
              </w:rPr>
            </w:pPr>
            <w:r>
              <w:rPr>
                <w:sz w:val="15"/>
              </w:rPr>
              <w:t>total</w:t>
            </w:r>
          </w:p>
        </w:tc>
        <w:tc>
          <w:tcPr>
            <w:tcW w:w="893" w:type="dxa"/>
            <w:gridSpan w:val="2"/>
            <w:tcBorders>
              <w:left w:val="single" w:sz="4" w:space="0" w:shadow="0" w:frame="0"/>
              <w:bottom w:val="single" w:sz="4" w:space="0" w:shadow="0" w:frame="0"/>
              <w:right w:val="single" w:sz="4" w:space="0" w:shadow="0" w:frame="0"/>
            </w:tcBorders>
          </w:tcPr>
          <w:p>
            <w:pPr>
              <w:tabs>
                <w:tab w:val="left" w:pos="3969" w:leader="none"/>
              </w:tabs>
              <w:spacing w:before="40" w:after="40"/>
              <w:ind w:left="-57" w:right="-57"/>
              <w:jc w:val="center"/>
              <w:rPr>
                <w:sz w:val="15"/>
              </w:rPr>
            </w:pPr>
            <w:r>
              <w:rPr>
                <w:sz w:val="15"/>
              </w:rPr>
              <w:t>with persons killed</w:t>
            </w:r>
          </w:p>
        </w:tc>
        <w:tc>
          <w:tcPr>
            <w:tcW w:w="982" w:type="dxa"/>
            <w:tcBorders>
              <w:left w:val="single" w:sz="4" w:space="0" w:shadow="0" w:frame="0"/>
              <w:bottom w:val="single" w:sz="4" w:space="0" w:shadow="0" w:frame="0"/>
              <w:right w:val="single" w:sz="4" w:space="0" w:shadow="0" w:frame="0"/>
            </w:tcBorders>
          </w:tcPr>
          <w:p>
            <w:pPr>
              <w:tabs>
                <w:tab w:val="left" w:pos="3969" w:leader="none"/>
              </w:tabs>
              <w:spacing w:before="40" w:after="40"/>
              <w:ind w:left="-57" w:right="-57"/>
              <w:jc w:val="center"/>
              <w:rPr>
                <w:sz w:val="15"/>
              </w:rPr>
            </w:pPr>
            <w:r>
              <w:rPr>
                <w:sz w:val="15"/>
              </w:rPr>
              <w:t>with persons injured</w:t>
            </w:r>
          </w:p>
        </w:tc>
        <w:tc>
          <w:tcPr>
            <w:tcW w:w="928" w:type="dxa"/>
            <w:tcBorders>
              <w:left w:val="single" w:sz="4" w:space="0" w:shadow="0" w:frame="0"/>
              <w:bottom w:val="single" w:sz="4" w:space="0" w:shadow="0" w:frame="0"/>
            </w:tcBorders>
            <w:vAlign w:val="center"/>
          </w:tcPr>
          <w:p>
            <w:pPr>
              <w:tabs>
                <w:tab w:val="left" w:pos="3969" w:leader="none"/>
              </w:tabs>
              <w:spacing w:before="40" w:after="40"/>
              <w:ind w:left="-57" w:right="-57"/>
              <w:jc w:val="center"/>
              <w:rPr>
                <w:sz w:val="15"/>
              </w:rPr>
            </w:pPr>
            <w:r>
              <w:rPr>
                <w:sz w:val="15"/>
              </w:rPr>
              <w:t>total</w:t>
            </w:r>
          </w:p>
        </w:tc>
        <w:tc>
          <w:tcPr>
            <w:tcW w:w="1025" w:type="dxa"/>
            <w:tcBorders>
              <w:bottom w:val="single" w:sz="4" w:space="0" w:shadow="0" w:frame="0"/>
            </w:tcBorders>
          </w:tcPr>
          <w:p>
            <w:pPr>
              <w:tabs>
                <w:tab w:val="left" w:pos="3969" w:leader="none"/>
              </w:tabs>
              <w:spacing w:before="40" w:after="40"/>
              <w:ind w:left="-57" w:right="-57"/>
              <w:jc w:val="center"/>
              <w:rPr>
                <w:sz w:val="15"/>
              </w:rPr>
            </w:pPr>
            <w:r>
              <w:rPr>
                <w:sz w:val="15"/>
              </w:rPr>
              <w:t>with persons killed</w:t>
            </w:r>
          </w:p>
        </w:tc>
        <w:tc>
          <w:tcPr>
            <w:tcW w:w="1026" w:type="dxa"/>
            <w:tcBorders>
              <w:bottom w:val="single" w:sz="4" w:space="0" w:shadow="0" w:frame="0"/>
              <w:right w:val="single" w:sz="4" w:space="0" w:shadow="0" w:frame="0"/>
            </w:tcBorders>
          </w:tcPr>
          <w:p>
            <w:pPr>
              <w:tabs>
                <w:tab w:val="left" w:pos="3969" w:leader="none"/>
              </w:tabs>
              <w:spacing w:before="40" w:after="40"/>
              <w:ind w:left="-57" w:right="-57"/>
              <w:jc w:val="center"/>
              <w:rPr>
                <w:sz w:val="15"/>
              </w:rPr>
            </w:pPr>
            <w:r>
              <w:rPr>
                <w:sz w:val="15"/>
              </w:rPr>
              <w:t>with persons injured</w:t>
            </w:r>
          </w:p>
        </w:tc>
        <w:tc>
          <w:tcPr>
            <w:tcW w:w="1020" w:type="dxa"/>
            <w:tcBorders>
              <w:left w:val="single" w:sz="4" w:space="0" w:shadow="0" w:frame="0"/>
              <w:bottom w:val="single" w:sz="4" w:space="0" w:shadow="0" w:frame="0"/>
            </w:tcBorders>
            <w:vAlign w:val="center"/>
          </w:tcPr>
          <w:p>
            <w:pPr>
              <w:tabs>
                <w:tab w:val="left" w:pos="3969" w:leader="none"/>
              </w:tabs>
              <w:spacing w:before="40" w:after="40"/>
              <w:ind w:left="-57" w:right="-57"/>
              <w:jc w:val="center"/>
              <w:rPr>
                <w:sz w:val="15"/>
              </w:rPr>
            </w:pPr>
            <w:r>
              <w:rPr>
                <w:sz w:val="15"/>
              </w:rPr>
              <w:t>total</w:t>
            </w:r>
          </w:p>
        </w:tc>
        <w:tc>
          <w:tcPr>
            <w:tcW w:w="1023" w:type="dxa"/>
            <w:tcBorders>
              <w:bottom w:val="single" w:sz="4" w:space="0" w:shadow="0" w:frame="0"/>
            </w:tcBorders>
          </w:tcPr>
          <w:p>
            <w:pPr>
              <w:tabs>
                <w:tab w:val="left" w:pos="3969" w:leader="none"/>
              </w:tabs>
              <w:spacing w:before="40" w:after="40"/>
              <w:ind w:left="-57" w:right="-57"/>
              <w:jc w:val="center"/>
              <w:rPr>
                <w:sz w:val="15"/>
              </w:rPr>
            </w:pPr>
            <w:r>
              <w:rPr>
                <w:sz w:val="15"/>
              </w:rPr>
              <w:t>with persons killed</w:t>
            </w:r>
          </w:p>
        </w:tc>
        <w:tc>
          <w:tcPr>
            <w:tcW w:w="1020" w:type="dxa"/>
            <w:tcBorders>
              <w:bottom w:val="single" w:sz="4" w:space="0" w:shadow="0" w:frame="0"/>
              <w:right w:val="none" w:sz="0" w:space="0" w:shadow="0" w:frame="0"/>
            </w:tcBorders>
          </w:tcPr>
          <w:p>
            <w:pPr>
              <w:tabs>
                <w:tab w:val="left" w:pos="3969" w:leader="none"/>
              </w:tabs>
              <w:spacing w:before="40" w:after="40"/>
              <w:ind w:left="-57" w:right="-57"/>
              <w:jc w:val="center"/>
              <w:rPr>
                <w:sz w:val="15"/>
              </w:rPr>
            </w:pPr>
            <w:r>
              <w:rPr>
                <w:sz w:val="15"/>
              </w:rPr>
              <w:t>with persons injured</w:t>
            </w:r>
          </w:p>
        </w:tc>
      </w:tr>
      <w:tr>
        <w:trPr>
          <w:wAfter w:w="0" w:type="dxa"/>
          <w:trHeight w:hRule="atLeast" w:val="20"/>
        </w:trPr>
        <w:tc>
          <w:tcPr>
            <w:tcW w:w="1413" w:type="dxa"/>
            <w:tcBorders>
              <w:top w:val="single" w:sz="4" w:space="0" w:shadow="0" w:frame="0"/>
              <w:left w:val="none" w:sz="0" w:space="0" w:shadow="0" w:frame="0"/>
              <w:bottom w:val="none" w:sz="0" w:space="0" w:shadow="0" w:frame="0"/>
              <w:right w:val="single" w:sz="4" w:space="0" w:shadow="0" w:frame="0"/>
            </w:tcBorders>
            <w:vAlign w:val="center"/>
          </w:tcPr>
          <w:p>
            <w:pPr>
              <w:spacing w:before="80"/>
              <w:ind w:right="-57"/>
              <w:rPr>
                <w:sz w:val="15"/>
              </w:rPr>
            </w:pPr>
            <w:r>
              <w:rPr>
                <w:sz w:val="15"/>
              </w:rPr>
              <w:t>2011</w:t>
            </w:r>
          </w:p>
        </w:tc>
        <w:tc>
          <w:tcPr>
            <w:tcW w:w="872" w:type="dxa"/>
            <w:gridSpan w:val="2"/>
            <w:tcBorders>
              <w:top w:val="single" w:sz="4"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14119</w:t>
            </w:r>
          </w:p>
        </w:tc>
        <w:tc>
          <w:tcPr>
            <w:tcW w:w="886" w:type="dxa"/>
            <w:tcBorders>
              <w:top w:val="single" w:sz="4"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659</w:t>
            </w:r>
          </w:p>
        </w:tc>
        <w:tc>
          <w:tcPr>
            <w:tcW w:w="982" w:type="dxa"/>
            <w:tcBorders>
              <w:top w:val="single" w:sz="4"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13460</w:t>
            </w:r>
          </w:p>
        </w:tc>
        <w:tc>
          <w:tcPr>
            <w:tcW w:w="928" w:type="dxa"/>
            <w:tcBorders>
              <w:top w:val="single" w:sz="4"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12381</w:t>
            </w:r>
          </w:p>
        </w:tc>
        <w:tc>
          <w:tcPr>
            <w:tcW w:w="1025" w:type="dxa"/>
            <w:tcBorders>
              <w:top w:val="single" w:sz="4"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501</w:t>
            </w:r>
          </w:p>
        </w:tc>
        <w:tc>
          <w:tcPr>
            <w:tcW w:w="1026" w:type="dxa"/>
            <w:tcBorders>
              <w:top w:val="single" w:sz="4"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11880</w:t>
            </w:r>
          </w:p>
        </w:tc>
        <w:tc>
          <w:tcPr>
            <w:tcW w:w="1020" w:type="dxa"/>
            <w:tcBorders>
              <w:top w:val="single" w:sz="4"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1738</w:t>
            </w:r>
          </w:p>
        </w:tc>
        <w:tc>
          <w:tcPr>
            <w:tcW w:w="1023" w:type="dxa"/>
            <w:tcBorders>
              <w:top w:val="single" w:sz="4"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158</w:t>
            </w:r>
          </w:p>
        </w:tc>
        <w:tc>
          <w:tcPr>
            <w:tcW w:w="1031" w:type="dxa"/>
            <w:gridSpan w:val="2"/>
            <w:tcBorders>
              <w:top w:val="single" w:sz="4"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1580</w:t>
            </w:r>
          </w:p>
        </w:tc>
      </w:tr>
      <w:tr>
        <w:trPr>
          <w:wAfter w:w="0" w:type="dxa"/>
          <w:trHeight w:hRule="atLeast" w:val="20"/>
        </w:trPr>
        <w:tc>
          <w:tcPr>
            <w:tcW w:w="1413" w:type="dxa"/>
            <w:tcBorders>
              <w:top w:val="none" w:sz="0" w:space="0" w:shadow="0" w:frame="0"/>
              <w:left w:val="none" w:sz="0" w:space="0" w:shadow="0" w:frame="0"/>
              <w:bottom w:val="none" w:sz="0" w:space="0" w:shadow="0" w:frame="0"/>
              <w:right w:val="single" w:sz="4" w:space="0" w:shadow="0" w:frame="0"/>
            </w:tcBorders>
            <w:vAlign w:val="center"/>
          </w:tcPr>
          <w:p>
            <w:pPr>
              <w:ind w:right="-57"/>
              <w:rPr>
                <w:sz w:val="15"/>
              </w:rPr>
            </w:pPr>
            <w:r>
              <w:rPr>
                <w:sz w:val="15"/>
              </w:rPr>
              <w:t>2012</w:t>
            </w:r>
          </w:p>
        </w:tc>
        <w:tc>
          <w:tcPr>
            <w:tcW w:w="872"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13333</w:t>
            </w:r>
          </w:p>
        </w:tc>
        <w:tc>
          <w:tcPr>
            <w:tcW w:w="88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615</w:t>
            </w:r>
          </w:p>
        </w:tc>
        <w:tc>
          <w:tcPr>
            <w:tcW w:w="98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12718</w:t>
            </w:r>
          </w:p>
        </w:tc>
        <w:tc>
          <w:tcPr>
            <w:tcW w:w="92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11794</w:t>
            </w:r>
          </w:p>
        </w:tc>
        <w:tc>
          <w:tcPr>
            <w:tcW w:w="102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462</w:t>
            </w:r>
          </w:p>
        </w:tc>
        <w:tc>
          <w:tcPr>
            <w:tcW w:w="1026"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11332</w:t>
            </w:r>
          </w:p>
        </w:tc>
        <w:tc>
          <w:tcPr>
            <w:tcW w:w="10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1539</w:t>
            </w:r>
          </w:p>
        </w:tc>
        <w:tc>
          <w:tcPr>
            <w:tcW w:w="102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153</w:t>
            </w:r>
          </w:p>
        </w:tc>
        <w:tc>
          <w:tcPr>
            <w:tcW w:w="103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1386</w:t>
            </w:r>
          </w:p>
        </w:tc>
      </w:tr>
      <w:tr>
        <w:trPr>
          <w:wAfter w:w="0" w:type="dxa"/>
          <w:trHeight w:hRule="atLeast" w:val="20"/>
        </w:trPr>
        <w:tc>
          <w:tcPr>
            <w:tcW w:w="1413" w:type="dxa"/>
            <w:tcBorders>
              <w:top w:val="none" w:sz="0" w:space="0" w:shadow="0" w:frame="0"/>
              <w:left w:val="none" w:sz="0" w:space="0" w:shadow="0" w:frame="0"/>
              <w:bottom w:val="none" w:sz="0" w:space="0" w:shadow="0" w:frame="0"/>
              <w:right w:val="single" w:sz="4" w:space="0" w:shadow="0" w:frame="0"/>
            </w:tcBorders>
          </w:tcPr>
          <w:p>
            <w:pPr>
              <w:ind w:right="-57"/>
              <w:rPr>
                <w:sz w:val="15"/>
                <w:u w:val="single"/>
              </w:rPr>
            </w:pPr>
            <w:r>
              <w:rPr>
                <w:sz w:val="15"/>
                <w:u w:val="single"/>
              </w:rPr>
              <w:t>2012</w:t>
            </w:r>
          </w:p>
          <w:p>
            <w:pPr>
              <w:ind w:right="-57"/>
              <w:rPr>
                <w:sz w:val="15"/>
              </w:rPr>
            </w:pPr>
            <w:r>
              <w:rPr>
                <w:sz w:val="15"/>
              </w:rPr>
              <w:t>2011</w:t>
            </w:r>
          </w:p>
        </w:tc>
        <w:tc>
          <w:tcPr>
            <w:tcW w:w="872" w:type="dxa"/>
            <w:gridSpan w:val="2"/>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94.4</w:t>
            </w:r>
          </w:p>
        </w:tc>
        <w:tc>
          <w:tcPr>
            <w:tcW w:w="88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93.3</w:t>
            </w:r>
          </w:p>
        </w:tc>
        <w:tc>
          <w:tcPr>
            <w:tcW w:w="98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94.5</w:t>
            </w:r>
          </w:p>
        </w:tc>
        <w:tc>
          <w:tcPr>
            <w:tcW w:w="928"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95.3</w:t>
            </w:r>
          </w:p>
        </w:tc>
        <w:tc>
          <w:tcPr>
            <w:tcW w:w="10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92.2</w:t>
            </w:r>
          </w:p>
        </w:tc>
        <w:tc>
          <w:tcPr>
            <w:tcW w:w="1026"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95.4</w:t>
            </w:r>
          </w:p>
        </w:tc>
        <w:tc>
          <w:tcPr>
            <w:tcW w:w="1020"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88.6</w:t>
            </w:r>
          </w:p>
        </w:tc>
        <w:tc>
          <w:tcPr>
            <w:tcW w:w="102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96.8</w:t>
            </w:r>
          </w:p>
        </w:tc>
        <w:tc>
          <w:tcPr>
            <w:tcW w:w="1031" w:type="dxa"/>
            <w:gridSpan w:val="2"/>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87.7</w:t>
            </w:r>
          </w:p>
        </w:tc>
      </w:tr>
    </w:tbl>
    <w:p>
      <w:pPr>
        <w:rPr>
          <w:sz w:val="6"/>
        </w:rPr>
      </w:pPr>
    </w:p>
    <w:p>
      <w:pPr>
        <w:jc w:val="both"/>
        <w:rPr>
          <w:sz w:val="10"/>
        </w:rPr>
      </w:pPr>
    </w:p>
    <w:p>
      <w:pPr>
        <w:rPr>
          <w:sz w:val="14"/>
        </w:rPr>
      </w:pPr>
      <w:r>
        <w:rPr>
          <w:sz w:val="14"/>
        </w:rPr>
        <w:t>Source: Ministry of the Interior of the Republic of Serbia.</w:t>
      </w:r>
    </w:p>
    <w:p>
      <w:pPr>
        <w:rPr>
          <w:sz w:val="14"/>
        </w:rPr>
      </w:pPr>
      <w:r>
        <w:rPr>
          <w:sz w:val="14"/>
          <w:vertAlign w:val="superscript"/>
        </w:rPr>
        <w:t>1)</w:t>
      </w:r>
      <w:r>
        <w:rPr>
          <w:sz w:val="14"/>
        </w:rPr>
        <w:t xml:space="preserve">  Without data for Kosovo and Metohia</w:t>
      </w:r>
    </w:p>
    <w:p>
      <w:pPr>
        <w:tabs>
          <w:tab w:val="left" w:pos="3969" w:leader="none"/>
        </w:tabs>
        <w:jc w:val="center"/>
        <w:rPr>
          <w:b w:val="1"/>
          <w:sz w:val="16"/>
        </w:rPr>
      </w:pPr>
    </w:p>
    <w:p>
      <w:pPr>
        <w:tabs>
          <w:tab w:val="left" w:pos="3969" w:leader="none"/>
        </w:tabs>
        <w:jc w:val="center"/>
        <w:rPr>
          <w:b w:val="1"/>
        </w:rPr>
      </w:pPr>
      <w:r>
        <w:rPr>
          <w:b w:val="1"/>
        </w:rPr>
        <w:t>5</w:t>
      </w:r>
      <w:r>
        <w:rPr>
          <w:b w:val="1"/>
        </w:rPr>
        <w:t xml:space="preserve">. </w:t>
      </w:r>
      <w:r>
        <w:rPr>
          <w:b w:val="1"/>
        </w:rPr>
        <w:t xml:space="preserve">Number of casualties </w:t>
      </w:r>
      <w:r>
        <w:rPr>
          <w:b w:val="1"/>
          <w:vertAlign w:val="superscript"/>
        </w:rPr>
        <w:t>1)</w:t>
      </w:r>
    </w:p>
    <w:p>
      <w:pPr>
        <w:tabs>
          <w:tab w:val="left" w:pos="3969" w:leader="none"/>
        </w:tabs>
        <w:jc w:val="center"/>
        <w:rPr>
          <w:b w:val="1"/>
          <w:sz w:val="8"/>
        </w:rPr>
      </w:pP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left w:w="28" w:type="dxa"/>
          <w:bottom w:w="0" w:type="dxa"/>
          <w:right w:w="28" w:type="dxa"/>
        </w:tblCellMar>
      </w:tblPr>
      <w:tblGrid/>
      <w:tr>
        <w:trPr>
          <w:gridAfter w:val="1"/>
          <w:wAfter w:w="11" w:type="dxa"/>
        </w:trPr>
        <w:tc>
          <w:tcPr>
            <w:tcW w:w="1413" w:type="dxa"/>
            <w:vMerge w:val="restart"/>
            <w:tcBorders>
              <w:top w:val="single" w:sz="4" w:space="0" w:shadow="0" w:frame="0"/>
              <w:left w:val="none" w:sz="0" w:space="0" w:shadow="0" w:frame="0"/>
              <w:bottom w:val="single" w:sz="4" w:space="0" w:shadow="0" w:frame="0"/>
              <w:right w:val="single" w:sz="4" w:space="0" w:shadow="0" w:frame="0"/>
            </w:tcBorders>
          </w:tcPr>
          <w:p>
            <w:pPr>
              <w:spacing w:before="40" w:after="40"/>
              <w:rPr>
                <w:sz w:val="15"/>
              </w:rPr>
            </w:pPr>
          </w:p>
        </w:tc>
        <w:tc>
          <w:tcPr>
            <w:tcW w:w="2740" w:type="dxa"/>
            <w:gridSpan w:val="4"/>
            <w:tcBorders>
              <w:top w:val="single" w:sz="4" w:space="0" w:shadow="0" w:frame="0"/>
              <w:left w:val="single" w:sz="4" w:space="0" w:shadow="0" w:frame="0"/>
              <w:right w:val="single" w:sz="4" w:space="0" w:shadow="0" w:frame="0"/>
            </w:tcBorders>
            <w:vAlign w:val="center"/>
          </w:tcPr>
          <w:p>
            <w:pPr>
              <w:tabs>
                <w:tab w:val="left" w:pos="3969" w:leader="none"/>
              </w:tabs>
              <w:spacing w:before="40" w:after="40"/>
              <w:ind w:left="-57" w:right="-57"/>
              <w:jc w:val="center"/>
              <w:rPr>
                <w:sz w:val="15"/>
              </w:rPr>
            </w:pPr>
            <w:r>
              <w:rPr>
                <w:sz w:val="15"/>
              </w:rPr>
              <w:t>Casualties</w:t>
            </w:r>
          </w:p>
        </w:tc>
        <w:tc>
          <w:tcPr>
            <w:tcW w:w="2979" w:type="dxa"/>
            <w:gridSpan w:val="3"/>
            <w:tcBorders>
              <w:top w:val="single" w:sz="4" w:space="0" w:shadow="0" w:frame="0"/>
              <w:left w:val="single" w:sz="4" w:space="0" w:shadow="0" w:frame="0"/>
              <w:right w:val="single" w:sz="4" w:space="0" w:shadow="0" w:frame="0"/>
            </w:tcBorders>
          </w:tcPr>
          <w:p>
            <w:pPr>
              <w:tabs>
                <w:tab w:val="left" w:pos="3969" w:leader="none"/>
              </w:tabs>
              <w:spacing w:before="40" w:after="40"/>
              <w:ind w:left="-57" w:right="-57"/>
              <w:jc w:val="center"/>
              <w:rPr>
                <w:sz w:val="15"/>
              </w:rPr>
            </w:pPr>
            <w:r>
              <w:rPr>
                <w:sz w:val="15"/>
              </w:rPr>
              <w:t>Within built-up areas</w:t>
            </w:r>
          </w:p>
        </w:tc>
        <w:tc>
          <w:tcPr>
            <w:tcW w:w="3063" w:type="dxa"/>
            <w:gridSpan w:val="3"/>
            <w:tcBorders>
              <w:top w:val="single" w:sz="4" w:space="0" w:shadow="0" w:frame="0"/>
              <w:left w:val="single" w:sz="4" w:space="0" w:shadow="0" w:frame="0"/>
              <w:right w:val="none" w:sz="0" w:space="0" w:shadow="0" w:frame="0"/>
            </w:tcBorders>
          </w:tcPr>
          <w:p>
            <w:pPr>
              <w:tabs>
                <w:tab w:val="left" w:pos="3969" w:leader="none"/>
              </w:tabs>
              <w:spacing w:before="40" w:after="40"/>
              <w:ind w:left="-57" w:right="-57"/>
              <w:jc w:val="center"/>
              <w:rPr>
                <w:sz w:val="15"/>
              </w:rPr>
            </w:pPr>
            <w:r>
              <w:rPr>
                <w:sz w:val="15"/>
              </w:rPr>
              <w:t>Outside built-up areas</w:t>
            </w:r>
          </w:p>
        </w:tc>
      </w:tr>
      <w:tr>
        <w:trPr>
          <w:gridAfter w:val="1"/>
          <w:wAfter w:w="11" w:type="dxa"/>
        </w:trPr>
        <w:tc>
          <w:tcPr>
            <w:tcW w:w="1413" w:type="dxa"/>
            <w:vMerge w:val="continue"/>
            <w:tcBorders>
              <w:top w:val="none" w:sz="0" w:space="0" w:shadow="0" w:frame="0"/>
              <w:left w:val="none" w:sz="0" w:space="0" w:shadow="0" w:frame="0"/>
              <w:bottom w:val="single" w:sz="4" w:space="0" w:shadow="0" w:frame="0"/>
              <w:right w:val="single" w:sz="4" w:space="0" w:shadow="0" w:frame="0"/>
            </w:tcBorders>
          </w:tcPr>
          <w:p>
            <w:pPr>
              <w:spacing w:before="40" w:after="40"/>
              <w:rPr>
                <w:sz w:val="15"/>
              </w:rPr>
            </w:pPr>
          </w:p>
        </w:tc>
        <w:tc>
          <w:tcPr>
            <w:tcW w:w="865" w:type="dxa"/>
            <w:tcBorders>
              <w:left w:val="single" w:sz="4" w:space="0" w:shadow="0" w:frame="0"/>
              <w:bottom w:val="single" w:sz="4" w:space="0" w:shadow="0" w:frame="0"/>
              <w:right w:val="single" w:sz="4" w:space="0" w:shadow="0" w:frame="0"/>
            </w:tcBorders>
          </w:tcPr>
          <w:p>
            <w:pPr>
              <w:spacing w:before="40" w:after="40"/>
              <w:ind w:left="-57" w:right="-57"/>
              <w:jc w:val="center"/>
              <w:rPr>
                <w:sz w:val="15"/>
              </w:rPr>
            </w:pPr>
            <w:r>
              <w:rPr>
                <w:sz w:val="15"/>
              </w:rPr>
              <w:t>total</w:t>
            </w:r>
          </w:p>
        </w:tc>
        <w:tc>
          <w:tcPr>
            <w:tcW w:w="893" w:type="dxa"/>
            <w:gridSpan w:val="2"/>
            <w:tcBorders>
              <w:left w:val="single" w:sz="4" w:space="0" w:shadow="0" w:frame="0"/>
              <w:bottom w:val="single" w:sz="4" w:space="0" w:shadow="0" w:frame="0"/>
              <w:right w:val="single" w:sz="4" w:space="0" w:shadow="0" w:frame="0"/>
            </w:tcBorders>
          </w:tcPr>
          <w:p>
            <w:pPr>
              <w:tabs>
                <w:tab w:val="left" w:pos="3969" w:leader="none"/>
              </w:tabs>
              <w:spacing w:before="40" w:after="40"/>
              <w:ind w:left="-57" w:right="-57"/>
              <w:jc w:val="center"/>
              <w:rPr>
                <w:sz w:val="15"/>
              </w:rPr>
            </w:pPr>
            <w:r>
              <w:rPr>
                <w:sz w:val="15"/>
              </w:rPr>
              <w:t xml:space="preserve"> killed</w:t>
            </w:r>
          </w:p>
        </w:tc>
        <w:tc>
          <w:tcPr>
            <w:tcW w:w="982" w:type="dxa"/>
            <w:tcBorders>
              <w:left w:val="single" w:sz="4" w:space="0" w:shadow="0" w:frame="0"/>
              <w:bottom w:val="single" w:sz="4" w:space="0" w:shadow="0" w:frame="0"/>
              <w:right w:val="single" w:sz="4" w:space="0" w:shadow="0" w:frame="0"/>
            </w:tcBorders>
          </w:tcPr>
          <w:p>
            <w:pPr>
              <w:tabs>
                <w:tab w:val="left" w:pos="3969" w:leader="none"/>
              </w:tabs>
              <w:spacing w:before="40" w:after="40"/>
              <w:ind w:left="-57" w:right="-57"/>
              <w:jc w:val="center"/>
              <w:rPr>
                <w:sz w:val="15"/>
              </w:rPr>
            </w:pPr>
            <w:r>
              <w:rPr>
                <w:sz w:val="15"/>
              </w:rPr>
              <w:t>injured</w:t>
            </w:r>
          </w:p>
        </w:tc>
        <w:tc>
          <w:tcPr>
            <w:tcW w:w="928" w:type="dxa"/>
            <w:tcBorders>
              <w:left w:val="single" w:sz="4" w:space="0" w:shadow="0" w:frame="0"/>
              <w:bottom w:val="single" w:sz="4" w:space="0" w:shadow="0" w:frame="0"/>
            </w:tcBorders>
          </w:tcPr>
          <w:p>
            <w:pPr>
              <w:spacing w:before="40" w:after="40"/>
              <w:ind w:left="-57" w:right="-57"/>
              <w:jc w:val="center"/>
              <w:rPr>
                <w:sz w:val="15"/>
              </w:rPr>
            </w:pPr>
            <w:r>
              <w:rPr>
                <w:sz w:val="15"/>
              </w:rPr>
              <w:t>total</w:t>
            </w:r>
          </w:p>
        </w:tc>
        <w:tc>
          <w:tcPr>
            <w:tcW w:w="1025" w:type="dxa"/>
            <w:tcBorders>
              <w:bottom w:val="single" w:sz="4" w:space="0" w:shadow="0" w:frame="0"/>
            </w:tcBorders>
          </w:tcPr>
          <w:p>
            <w:pPr>
              <w:tabs>
                <w:tab w:val="left" w:pos="3969" w:leader="none"/>
              </w:tabs>
              <w:spacing w:before="40" w:after="40"/>
              <w:ind w:left="-57" w:right="-57"/>
              <w:jc w:val="center"/>
              <w:rPr>
                <w:sz w:val="15"/>
              </w:rPr>
            </w:pPr>
            <w:r>
              <w:rPr>
                <w:sz w:val="15"/>
              </w:rPr>
              <w:t xml:space="preserve"> killed</w:t>
            </w:r>
          </w:p>
        </w:tc>
        <w:tc>
          <w:tcPr>
            <w:tcW w:w="1026" w:type="dxa"/>
            <w:tcBorders>
              <w:bottom w:val="single" w:sz="4" w:space="0" w:shadow="0" w:frame="0"/>
              <w:right w:val="single" w:sz="4" w:space="0" w:shadow="0" w:frame="0"/>
            </w:tcBorders>
          </w:tcPr>
          <w:p>
            <w:pPr>
              <w:tabs>
                <w:tab w:val="left" w:pos="3969" w:leader="none"/>
              </w:tabs>
              <w:spacing w:before="40" w:after="40"/>
              <w:ind w:left="-57" w:right="-57"/>
              <w:jc w:val="center"/>
              <w:rPr>
                <w:sz w:val="15"/>
              </w:rPr>
            </w:pPr>
            <w:r>
              <w:rPr>
                <w:sz w:val="15"/>
              </w:rPr>
              <w:t>injured</w:t>
            </w:r>
          </w:p>
        </w:tc>
        <w:tc>
          <w:tcPr>
            <w:tcW w:w="1020" w:type="dxa"/>
            <w:tcBorders>
              <w:left w:val="single" w:sz="4" w:space="0" w:shadow="0" w:frame="0"/>
              <w:bottom w:val="single" w:sz="4" w:space="0" w:shadow="0" w:frame="0"/>
            </w:tcBorders>
          </w:tcPr>
          <w:p>
            <w:pPr>
              <w:spacing w:before="40" w:after="40"/>
              <w:ind w:left="-57" w:right="-57"/>
              <w:jc w:val="center"/>
              <w:rPr>
                <w:sz w:val="15"/>
              </w:rPr>
            </w:pPr>
            <w:r>
              <w:rPr>
                <w:sz w:val="15"/>
              </w:rPr>
              <w:t>total</w:t>
            </w:r>
          </w:p>
        </w:tc>
        <w:tc>
          <w:tcPr>
            <w:tcW w:w="1023" w:type="dxa"/>
            <w:tcBorders>
              <w:bottom w:val="single" w:sz="4" w:space="0" w:shadow="0" w:frame="0"/>
            </w:tcBorders>
          </w:tcPr>
          <w:p>
            <w:pPr>
              <w:tabs>
                <w:tab w:val="left" w:pos="3969" w:leader="none"/>
              </w:tabs>
              <w:spacing w:before="40" w:after="40"/>
              <w:ind w:left="-57" w:right="-57"/>
              <w:jc w:val="center"/>
              <w:rPr>
                <w:sz w:val="15"/>
              </w:rPr>
            </w:pPr>
            <w:r>
              <w:rPr>
                <w:sz w:val="15"/>
              </w:rPr>
              <w:t xml:space="preserve"> killed</w:t>
            </w:r>
          </w:p>
        </w:tc>
        <w:tc>
          <w:tcPr>
            <w:tcW w:w="1020" w:type="dxa"/>
            <w:tcBorders>
              <w:bottom w:val="single" w:sz="4" w:space="0" w:shadow="0" w:frame="0"/>
              <w:right w:val="none" w:sz="0" w:space="0" w:shadow="0" w:frame="0"/>
            </w:tcBorders>
          </w:tcPr>
          <w:p>
            <w:pPr>
              <w:tabs>
                <w:tab w:val="left" w:pos="3969" w:leader="none"/>
              </w:tabs>
              <w:spacing w:before="40" w:after="40"/>
              <w:ind w:left="-57" w:right="-57"/>
              <w:jc w:val="center"/>
              <w:rPr>
                <w:sz w:val="15"/>
              </w:rPr>
            </w:pPr>
            <w:r>
              <w:rPr>
                <w:sz w:val="15"/>
              </w:rPr>
              <w:t>injured</w:t>
            </w:r>
          </w:p>
        </w:tc>
      </w:tr>
      <w:tr>
        <w:trPr>
          <w:wAfter w:w="0" w:type="dxa"/>
          <w:trHeight w:hRule="atLeast" w:val="20"/>
        </w:trPr>
        <w:tc>
          <w:tcPr>
            <w:tcW w:w="1413" w:type="dxa"/>
            <w:tcBorders>
              <w:top w:val="single" w:sz="4" w:space="0" w:shadow="0" w:frame="0"/>
              <w:left w:val="none" w:sz="0" w:space="0" w:shadow="0" w:frame="0"/>
              <w:bottom w:val="none" w:sz="0" w:space="0" w:shadow="0" w:frame="0"/>
              <w:right w:val="single" w:sz="4" w:space="0" w:shadow="0" w:frame="0"/>
            </w:tcBorders>
            <w:vAlign w:val="center"/>
          </w:tcPr>
          <w:p>
            <w:pPr>
              <w:spacing w:before="80"/>
              <w:ind w:right="-57"/>
              <w:rPr>
                <w:sz w:val="15"/>
              </w:rPr>
            </w:pPr>
            <w:r>
              <w:rPr>
                <w:sz w:val="15"/>
              </w:rPr>
              <w:t>2011</w:t>
            </w:r>
          </w:p>
        </w:tc>
        <w:tc>
          <w:tcPr>
            <w:tcW w:w="872" w:type="dxa"/>
            <w:gridSpan w:val="2"/>
            <w:tcBorders>
              <w:top w:val="single" w:sz="4"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20040</w:t>
            </w:r>
          </w:p>
        </w:tc>
        <w:tc>
          <w:tcPr>
            <w:tcW w:w="886"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728</w:t>
            </w:r>
          </w:p>
        </w:tc>
        <w:tc>
          <w:tcPr>
            <w:tcW w:w="982" w:type="dxa"/>
            <w:tcBorders>
              <w:top w:val="single" w:sz="4"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19312</w:t>
            </w:r>
          </w:p>
        </w:tc>
        <w:tc>
          <w:tcPr>
            <w:tcW w:w="928"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17092</w:t>
            </w:r>
          </w:p>
        </w:tc>
        <w:tc>
          <w:tcPr>
            <w:tcW w:w="1025"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538</w:t>
            </w:r>
          </w:p>
        </w:tc>
        <w:tc>
          <w:tcPr>
            <w:tcW w:w="1026" w:type="dxa"/>
            <w:tcBorders>
              <w:top w:val="single" w:sz="4"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16554</w:t>
            </w:r>
          </w:p>
        </w:tc>
        <w:tc>
          <w:tcPr>
            <w:tcW w:w="102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2948</w:t>
            </w:r>
          </w:p>
        </w:tc>
        <w:tc>
          <w:tcPr>
            <w:tcW w:w="1023"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190</w:t>
            </w:r>
          </w:p>
        </w:tc>
        <w:tc>
          <w:tcPr>
            <w:tcW w:w="1031" w:type="dxa"/>
            <w:gridSpan w:val="2"/>
            <w:tcBorders>
              <w:top w:val="single" w:sz="4"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2758</w:t>
            </w:r>
          </w:p>
        </w:tc>
      </w:tr>
      <w:tr>
        <w:trPr>
          <w:wAfter w:w="0" w:type="dxa"/>
          <w:trHeight w:hRule="atLeast" w:val="20"/>
        </w:trPr>
        <w:tc>
          <w:tcPr>
            <w:tcW w:w="1413" w:type="dxa"/>
            <w:tcBorders>
              <w:top w:val="none" w:sz="0" w:space="0" w:shadow="0" w:frame="0"/>
              <w:left w:val="none" w:sz="0" w:space="0" w:shadow="0" w:frame="0"/>
              <w:bottom w:val="none" w:sz="0" w:space="0" w:shadow="0" w:frame="0"/>
              <w:right w:val="single" w:sz="4" w:space="0" w:shadow="0" w:frame="0"/>
            </w:tcBorders>
            <w:vAlign w:val="center"/>
          </w:tcPr>
          <w:p>
            <w:pPr>
              <w:ind w:right="-57"/>
              <w:rPr>
                <w:sz w:val="15"/>
              </w:rPr>
            </w:pPr>
            <w:r>
              <w:rPr>
                <w:sz w:val="15"/>
              </w:rPr>
              <w:t>2012</w:t>
            </w:r>
          </w:p>
        </w:tc>
        <w:tc>
          <w:tcPr>
            <w:tcW w:w="872"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19090</w:t>
            </w:r>
          </w:p>
        </w:tc>
        <w:tc>
          <w:tcPr>
            <w:tcW w:w="886"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684</w:t>
            </w:r>
          </w:p>
        </w:tc>
        <w:tc>
          <w:tcPr>
            <w:tcW w:w="98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18406</w:t>
            </w:r>
          </w:p>
        </w:tc>
        <w:tc>
          <w:tcPr>
            <w:tcW w:w="928"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16459</w:t>
            </w:r>
          </w:p>
        </w:tc>
        <w:tc>
          <w:tcPr>
            <w:tcW w:w="102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513</w:t>
            </w:r>
          </w:p>
        </w:tc>
        <w:tc>
          <w:tcPr>
            <w:tcW w:w="1026"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sz w:val="15"/>
              </w:rPr>
            </w:pPr>
            <w:r>
              <w:rPr>
                <w:sz w:val="15"/>
              </w:rPr>
              <w:t>15946</w:t>
            </w:r>
          </w:p>
        </w:tc>
        <w:tc>
          <w:tcPr>
            <w:tcW w:w="102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sz w:val="15"/>
              </w:rPr>
            </w:pPr>
            <w:r>
              <w:rPr>
                <w:sz w:val="15"/>
              </w:rPr>
              <w:t>2631</w:t>
            </w:r>
          </w:p>
        </w:tc>
        <w:tc>
          <w:tcPr>
            <w:tcW w:w="1023"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171</w:t>
            </w:r>
          </w:p>
        </w:tc>
        <w:tc>
          <w:tcPr>
            <w:tcW w:w="1031"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sz w:val="15"/>
              </w:rPr>
            </w:pPr>
            <w:r>
              <w:rPr>
                <w:sz w:val="15"/>
              </w:rPr>
              <w:t>2460</w:t>
            </w:r>
          </w:p>
        </w:tc>
      </w:tr>
      <w:tr>
        <w:trPr>
          <w:wAfter w:w="0" w:type="dxa"/>
          <w:trHeight w:hRule="atLeast" w:val="20"/>
        </w:trPr>
        <w:tc>
          <w:tcPr>
            <w:tcW w:w="1413" w:type="dxa"/>
            <w:tcBorders>
              <w:top w:val="none" w:sz="0" w:space="0" w:shadow="0" w:frame="0"/>
              <w:left w:val="none" w:sz="0" w:space="0" w:shadow="0" w:frame="0"/>
              <w:bottom w:val="none" w:sz="0" w:space="0" w:shadow="0" w:frame="0"/>
              <w:right w:val="single" w:sz="4" w:space="0" w:shadow="0" w:frame="0"/>
            </w:tcBorders>
          </w:tcPr>
          <w:p>
            <w:pPr>
              <w:ind w:right="-57"/>
              <w:rPr>
                <w:sz w:val="15"/>
                <w:u w:val="single"/>
              </w:rPr>
            </w:pPr>
            <w:r>
              <w:rPr>
                <w:sz w:val="15"/>
                <w:u w:val="single"/>
              </w:rPr>
              <w:t>2012</w:t>
            </w:r>
          </w:p>
          <w:p>
            <w:pPr>
              <w:ind w:right="-57"/>
              <w:rPr>
                <w:sz w:val="15"/>
              </w:rPr>
            </w:pPr>
            <w:r>
              <w:rPr>
                <w:sz w:val="15"/>
              </w:rPr>
              <w:t>2011</w:t>
            </w:r>
          </w:p>
        </w:tc>
        <w:tc>
          <w:tcPr>
            <w:tcW w:w="872" w:type="dxa"/>
            <w:gridSpan w:val="2"/>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95.3</w:t>
            </w:r>
          </w:p>
        </w:tc>
        <w:tc>
          <w:tcPr>
            <w:tcW w:w="886"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94.0</w:t>
            </w:r>
          </w:p>
        </w:tc>
        <w:tc>
          <w:tcPr>
            <w:tcW w:w="982"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95.3</w:t>
            </w:r>
          </w:p>
        </w:tc>
        <w:tc>
          <w:tcPr>
            <w:tcW w:w="928"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96.3</w:t>
            </w:r>
          </w:p>
        </w:tc>
        <w:tc>
          <w:tcPr>
            <w:tcW w:w="1025"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95.4</w:t>
            </w:r>
          </w:p>
        </w:tc>
        <w:tc>
          <w:tcPr>
            <w:tcW w:w="1026" w:type="dxa"/>
            <w:tcBorders>
              <w:top w:val="none" w:sz="0" w:space="0" w:shadow="0" w:frame="0"/>
              <w:left w:val="none" w:sz="0" w:space="0" w:shadow="0" w:frame="0"/>
              <w:bottom w:val="none" w:sz="0" w:space="0" w:shadow="0" w:frame="0"/>
              <w:right w:val="single" w:sz="4" w:space="0" w:shadow="0" w:frame="0"/>
            </w:tcBorders>
            <w:vAlign w:val="center"/>
          </w:tcPr>
          <w:p>
            <w:pPr>
              <w:ind w:right="113"/>
              <w:jc w:val="right"/>
              <w:rPr>
                <w:sz w:val="15"/>
              </w:rPr>
            </w:pPr>
            <w:r>
              <w:rPr>
                <w:sz w:val="15"/>
              </w:rPr>
              <w:t>96.3</w:t>
            </w:r>
          </w:p>
        </w:tc>
        <w:tc>
          <w:tcPr>
            <w:tcW w:w="1020" w:type="dxa"/>
            <w:tcBorders>
              <w:top w:val="none" w:sz="0" w:space="0" w:shadow="0" w:frame="0"/>
              <w:left w:val="single" w:sz="4" w:space="0" w:shadow="0" w:frame="0"/>
              <w:bottom w:val="none" w:sz="0" w:space="0" w:shadow="0" w:frame="0"/>
              <w:right w:val="none" w:sz="0" w:space="0" w:shadow="0" w:frame="0"/>
            </w:tcBorders>
            <w:vAlign w:val="center"/>
          </w:tcPr>
          <w:p>
            <w:pPr>
              <w:ind w:right="113"/>
              <w:jc w:val="right"/>
              <w:rPr>
                <w:sz w:val="15"/>
              </w:rPr>
            </w:pPr>
            <w:r>
              <w:rPr>
                <w:sz w:val="15"/>
              </w:rPr>
              <w:t>89.2</w:t>
            </w:r>
          </w:p>
        </w:tc>
        <w:tc>
          <w:tcPr>
            <w:tcW w:w="1023" w:type="dxa"/>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90.0</w:t>
            </w:r>
          </w:p>
        </w:tc>
        <w:tc>
          <w:tcPr>
            <w:tcW w:w="1031" w:type="dxa"/>
            <w:gridSpan w:val="2"/>
            <w:tcBorders>
              <w:top w:val="none" w:sz="0" w:space="0" w:shadow="0" w:frame="0"/>
              <w:left w:val="none" w:sz="0" w:space="0" w:shadow="0" w:frame="0"/>
              <w:bottom w:val="none" w:sz="0" w:space="0" w:shadow="0" w:frame="0"/>
              <w:right w:val="none" w:sz="0" w:space="0" w:shadow="0" w:frame="0"/>
            </w:tcBorders>
            <w:vAlign w:val="center"/>
          </w:tcPr>
          <w:p>
            <w:pPr>
              <w:ind w:right="113"/>
              <w:jc w:val="right"/>
              <w:rPr>
                <w:sz w:val="15"/>
              </w:rPr>
            </w:pPr>
            <w:r>
              <w:rPr>
                <w:sz w:val="15"/>
              </w:rPr>
              <w:t>89.2</w:t>
            </w:r>
          </w:p>
        </w:tc>
      </w:tr>
    </w:tbl>
    <w:p>
      <w:pPr>
        <w:rPr>
          <w:sz w:val="6"/>
        </w:rPr>
      </w:pPr>
    </w:p>
    <w:p>
      <w:pPr>
        <w:jc w:val="both"/>
        <w:rPr>
          <w:sz w:val="10"/>
        </w:rPr>
      </w:pPr>
    </w:p>
    <w:p>
      <w:pPr>
        <w:rPr>
          <w:sz w:val="14"/>
        </w:rPr>
      </w:pPr>
      <w:r>
        <w:rPr>
          <w:sz w:val="14"/>
        </w:rPr>
        <w:t>Source: Ministry of the Interior of the Republic of Serbia.</w:t>
      </w:r>
    </w:p>
    <w:p>
      <w:pPr>
        <w:rPr>
          <w:sz w:val="14"/>
        </w:rPr>
      </w:pPr>
      <w:r>
        <w:rPr>
          <w:sz w:val="14"/>
          <w:vertAlign w:val="superscript"/>
        </w:rPr>
        <w:t>1)</w:t>
      </w:r>
      <w:r>
        <w:rPr>
          <w:sz w:val="14"/>
        </w:rPr>
        <w:t xml:space="preserve">  Without data for Kosovo and Metohia</w:t>
      </w:r>
    </w:p>
    <w:p>
      <w:pPr>
        <w:rPr>
          <w:sz w:val="12"/>
        </w:rPr>
      </w:pPr>
    </w:p>
    <w:p>
      <w:pPr>
        <w:rPr>
          <w:sz w:val="12"/>
        </w:rPr>
      </w:pPr>
    </w:p>
    <w:p>
      <w:pPr>
        <w:rPr>
          <w:sz w:val="2"/>
        </w:rPr>
      </w:pPr>
    </w:p>
    <w:p>
      <w:pPr>
        <w:spacing w:before="120"/>
        <w:jc w:val="center"/>
        <w:rPr>
          <w:sz w:val="18"/>
        </w:rPr>
      </w:pPr>
      <w:r>
        <w:rPr>
          <w:sz w:val="18"/>
        </w:rPr>
        <w:t>Published and printed by: Statistical Office of the Republic of Serbia, Belgrade, Milana Rakica 5,</w:t>
      </w:r>
    </w:p>
    <w:p>
      <w:pPr>
        <w:jc w:val="center"/>
        <w:rPr>
          <w:sz w:val="18"/>
        </w:rPr>
      </w:pPr>
      <w:r>
        <w:rPr>
          <w:sz w:val="18"/>
        </w:rPr>
        <w:t>Phone: +381 11 2412922 (operator) ● Fax: +381 11 2411260 ● www.stat.gov.rs</w:t>
      </w:r>
    </w:p>
    <w:p>
      <w:pPr>
        <w:jc w:val="center"/>
        <w:rPr>
          <w:sz w:val="18"/>
        </w:rPr>
      </w:pPr>
      <w:r>
        <w:rPr>
          <w:sz w:val="18"/>
        </w:rPr>
        <w:t>Responsible: Dragan Vukmirovic, PhD, Director</w:t>
      </w:r>
    </w:p>
    <w:p>
      <w:pPr>
        <w:jc w:val="center"/>
        <w:rPr>
          <w:sz w:val="2"/>
        </w:rPr>
      </w:pPr>
      <w:r>
        <w:rPr>
          <w:sz w:val="18"/>
        </w:rPr>
        <w:t>Circulation: 20 ● Issued: annually</w:t>
      </w:r>
    </w:p>
    <w:p>
      <w:pPr>
        <w:rPr>
          <w:sz w:val="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5210" w:type="dxa"/>
          <w:tcBorders>
            <w:bottom w:val="none" w:sz="0" w:space="0" w:shadow="0" w:frame="0"/>
          </w:tcBorders>
        </w:tcPr>
        <w:p>
          <w:pPr>
            <w:spacing w:before="120"/>
            <w:rPr>
              <w:i w:val="0"/>
              <w:sz w:val="16"/>
            </w:rPr>
          </w:pPr>
          <w:r>
            <w:rPr>
              <w:i w:val="1"/>
              <w:sz w:val="16"/>
            </w:rPr>
            <w:t>SRB</w:t>
          </w:r>
          <w:r>
            <w:rPr>
              <w:i w:val="1"/>
              <w:sz w:val="16"/>
            </w:rPr>
            <w:t>097</w:t>
          </w:r>
          <w:r>
            <w:rPr>
              <w:i w:val="1"/>
              <w:sz w:val="16"/>
            </w:rPr>
            <w:t xml:space="preserve"> </w:t>
          </w:r>
          <w:r>
            <w:rPr>
              <w:i w:val="1"/>
              <w:sz w:val="16"/>
            </w:rPr>
            <w:t>СВ21</w:t>
          </w:r>
          <w:r>
            <w:rPr>
              <w:i w:val="1"/>
              <w:sz w:val="16"/>
            </w:rPr>
            <w:t xml:space="preserve"> </w:t>
          </w:r>
          <w:r>
            <w:rPr>
              <w:i w:val="1"/>
              <w:sz w:val="16"/>
            </w:rPr>
            <w:t>0</w:t>
          </w:r>
          <w:r>
            <w:rPr>
              <w:i w:val="1"/>
              <w:sz w:val="16"/>
            </w:rPr>
            <w:t>8</w:t>
          </w:r>
          <w:r>
            <w:rPr>
              <w:i w:val="1"/>
              <w:sz w:val="16"/>
            </w:rPr>
            <w:t>0</w:t>
          </w:r>
          <w:r>
            <w:rPr>
              <w:i w:val="1"/>
              <w:sz w:val="16"/>
            </w:rPr>
            <w:t>3</w:t>
          </w:r>
          <w:r>
            <w:rPr>
              <w:i w:val="1"/>
              <w:sz w:val="16"/>
            </w:rPr>
            <w:t>1</w:t>
          </w:r>
          <w:r>
            <w:rPr>
              <w:i w:val="1"/>
              <w:sz w:val="16"/>
            </w:rPr>
            <w:t>3</w:t>
          </w:r>
        </w:p>
      </w:tc>
      <w:tc>
        <w:tcPr>
          <w:tcW w:w="5211" w:type="dxa"/>
          <w:tcBorders>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SRB</w:t>
          </w:r>
          <w:r>
            <w:rPr>
              <w:b w:val="1"/>
              <w:sz w:val="16"/>
            </w:rPr>
            <w:t>053</w:t>
          </w:r>
          <w:r>
            <w:rPr>
              <w:b w:val="1"/>
              <w:sz w:val="16"/>
            </w:rPr>
            <w:t xml:space="preserve"> </w:t>
          </w:r>
          <w:r>
            <w:rPr>
              <w:b w:val="1"/>
              <w:sz w:val="16"/>
            </w:rPr>
            <w:t>SV</w:t>
          </w:r>
          <w:r>
            <w:rPr>
              <w:b w:val="1"/>
              <w:sz w:val="16"/>
            </w:rPr>
            <w:t>21</w:t>
          </w:r>
          <w:r>
            <w:rPr>
              <w:b w:val="1"/>
              <w:sz w:val="16"/>
            </w:rPr>
            <w:t xml:space="preserve"> </w:t>
          </w:r>
          <w:r>
            <w:rPr>
              <w:b w:val="1"/>
              <w:sz w:val="16"/>
            </w:rPr>
            <w:t>0</w:t>
          </w:r>
          <w:r>
            <w:rPr>
              <w:b w:val="1"/>
              <w:sz w:val="16"/>
            </w:rPr>
            <w:t>8</w:t>
          </w:r>
          <w:r>
            <w:rPr>
              <w:b w:val="1"/>
              <w:sz w:val="16"/>
            </w:rPr>
            <w:t>0</w:t>
          </w:r>
          <w:r>
            <w:rPr>
              <w:b w:val="1"/>
              <w:sz w:val="16"/>
            </w:rPr>
            <w:t>3</w:t>
          </w:r>
          <w:r>
            <w:rPr>
              <w:b w:val="1"/>
              <w:sz w:val="16"/>
            </w:rPr>
            <w:t>1</w:t>
          </w:r>
          <w:r>
            <w:rPr>
              <w:b w:val="1"/>
              <w:sz w:val="16"/>
            </w:rPr>
            <w:t>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794F75B9">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4852CD2">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80A4D1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4764880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27489CA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3EEA7543">
      <w:start w:val="1"/>
      <w:numFmt w:val="bullet"/>
      <w:suff w:val="tab"/>
      <w:lvlText w:val=""/>
      <w:lvlJc w:val="left"/>
      <w:pPr>
        <w:ind w:hanging="360" w:left="1117"/>
        <w:tabs>
          <w:tab w:val="left" w:pos="1117" w:leader="none"/>
        </w:tabs>
      </w:pPr>
      <w:rPr>
        <w:rFonts w:ascii="Symbol" w:hAnsi="Symbol"/>
        <w:sz w:val="16"/>
      </w:rPr>
    </w:lvl>
    <w:lvl w:ilvl="1" w:tplc="1CF3CE44">
      <w:start w:val="1"/>
      <w:numFmt w:val="bullet"/>
      <w:suff w:val="tab"/>
      <w:lvlText w:val="o"/>
      <w:lvlJc w:val="left"/>
      <w:pPr>
        <w:ind w:hanging="360" w:left="1837"/>
        <w:tabs>
          <w:tab w:val="left" w:pos="1837" w:leader="none"/>
        </w:tabs>
      </w:pPr>
      <w:rPr>
        <w:rFonts w:ascii="Courier New" w:hAnsi="Courier New"/>
      </w:rPr>
    </w:lvl>
    <w:lvl w:ilvl="2" w:tplc="0B90006D">
      <w:start w:val="1"/>
      <w:numFmt w:val="bullet"/>
      <w:suff w:val="tab"/>
      <w:lvlText w:val=""/>
      <w:lvlJc w:val="left"/>
      <w:pPr>
        <w:ind w:hanging="360" w:left="2557"/>
        <w:tabs>
          <w:tab w:val="left" w:pos="2557" w:leader="none"/>
        </w:tabs>
      </w:pPr>
      <w:rPr>
        <w:rFonts w:ascii="Wingdings" w:hAnsi="Wingdings"/>
      </w:rPr>
    </w:lvl>
    <w:lvl w:ilvl="3" w:tplc="137A855E">
      <w:start w:val="1"/>
      <w:numFmt w:val="bullet"/>
      <w:suff w:val="tab"/>
      <w:lvlText w:val=""/>
      <w:lvlJc w:val="left"/>
      <w:pPr>
        <w:ind w:hanging="360" w:left="3277"/>
        <w:tabs>
          <w:tab w:val="left" w:pos="3277" w:leader="none"/>
        </w:tabs>
      </w:pPr>
      <w:rPr>
        <w:rFonts w:ascii="Symbol" w:hAnsi="Symbol"/>
      </w:rPr>
    </w:lvl>
    <w:lvl w:ilvl="4" w:tplc="671947C4">
      <w:start w:val="1"/>
      <w:numFmt w:val="bullet"/>
      <w:suff w:val="tab"/>
      <w:lvlText w:val="o"/>
      <w:lvlJc w:val="left"/>
      <w:pPr>
        <w:ind w:hanging="360" w:left="3997"/>
        <w:tabs>
          <w:tab w:val="left" w:pos="3997" w:leader="none"/>
        </w:tabs>
      </w:pPr>
      <w:rPr>
        <w:rFonts w:ascii="Courier New" w:hAnsi="Courier New"/>
      </w:rPr>
    </w:lvl>
    <w:lvl w:ilvl="5" w:tplc="06DCC8E5">
      <w:start w:val="1"/>
      <w:numFmt w:val="bullet"/>
      <w:suff w:val="tab"/>
      <w:lvlText w:val=""/>
      <w:lvlJc w:val="left"/>
      <w:pPr>
        <w:ind w:hanging="360" w:left="4717"/>
        <w:tabs>
          <w:tab w:val="left" w:pos="4717" w:leader="none"/>
        </w:tabs>
      </w:pPr>
      <w:rPr>
        <w:rFonts w:ascii="Wingdings" w:hAnsi="Wingdings"/>
      </w:rPr>
    </w:lvl>
    <w:lvl w:ilvl="6" w:tplc="1E949C8F">
      <w:start w:val="1"/>
      <w:numFmt w:val="bullet"/>
      <w:suff w:val="tab"/>
      <w:lvlText w:val=""/>
      <w:lvlJc w:val="left"/>
      <w:pPr>
        <w:ind w:hanging="360" w:left="5437"/>
        <w:tabs>
          <w:tab w:val="left" w:pos="5437" w:leader="none"/>
        </w:tabs>
      </w:pPr>
      <w:rPr>
        <w:rFonts w:ascii="Symbol" w:hAnsi="Symbol"/>
      </w:rPr>
    </w:lvl>
    <w:lvl w:ilvl="7" w:tplc="519C0BF9">
      <w:start w:val="1"/>
      <w:numFmt w:val="bullet"/>
      <w:suff w:val="tab"/>
      <w:lvlText w:val="o"/>
      <w:lvlJc w:val="left"/>
      <w:pPr>
        <w:ind w:hanging="360" w:left="6157"/>
        <w:tabs>
          <w:tab w:val="left" w:pos="6157" w:leader="none"/>
        </w:tabs>
      </w:pPr>
      <w:rPr>
        <w:rFonts w:ascii="Courier New" w:hAnsi="Courier New"/>
      </w:rPr>
    </w:lvl>
    <w:lvl w:ilvl="8" w:tplc="7C0C26B3">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19F1782C">
      <w:start w:val="1"/>
      <w:numFmt w:val="bullet"/>
      <w:suff w:val="tab"/>
      <w:lvlText w:val=""/>
      <w:lvlJc w:val="left"/>
      <w:pPr>
        <w:ind w:hanging="283" w:left="680"/>
        <w:tabs>
          <w:tab w:val="left" w:pos="323" w:leader="none"/>
        </w:tabs>
      </w:pPr>
      <w:rPr>
        <w:rFonts w:ascii="Symbol" w:hAnsi="Symbol"/>
        <w:color w:val="auto"/>
        <w:sz w:val="20"/>
      </w:rPr>
    </w:lvl>
    <w:lvl w:ilvl="1" w:tplc="3D07040C">
      <w:start w:val="1"/>
      <w:numFmt w:val="bullet"/>
      <w:suff w:val="tab"/>
      <w:lvlText w:val=""/>
      <w:lvlJc w:val="left"/>
      <w:pPr>
        <w:ind w:hanging="284" w:left="851"/>
        <w:tabs>
          <w:tab w:val="left" w:pos="851" w:leader="none"/>
        </w:tabs>
      </w:pPr>
      <w:rPr>
        <w:rFonts w:ascii="Symbol" w:hAnsi="Symbol"/>
        <w:color w:val="auto"/>
      </w:rPr>
    </w:lvl>
    <w:lvl w:ilvl="2" w:tplc="15945BF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0ECC9B87">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337F34C7">
      <w:start w:val="1"/>
      <w:numFmt w:val="bullet"/>
      <w:suff w:val="tab"/>
      <w:lvlText w:val=""/>
      <w:lvlJc w:val="left"/>
      <w:pPr>
        <w:ind w:hanging="283" w:left="680"/>
        <w:tabs>
          <w:tab w:val="left" w:pos="323" w:leader="none"/>
        </w:tabs>
      </w:pPr>
      <w:rPr>
        <w:rFonts w:ascii="Symbol" w:hAnsi="Symbol"/>
        <w:color w:val="auto"/>
        <w:sz w:val="20"/>
      </w:rPr>
    </w:lvl>
    <w:lvl w:ilvl="1" w:tplc="016EF753">
      <w:start w:val="1"/>
      <w:numFmt w:val="bullet"/>
      <w:suff w:val="tab"/>
      <w:lvlText w:val=""/>
      <w:lvlJc w:val="left"/>
      <w:pPr>
        <w:ind w:hanging="284" w:left="851"/>
        <w:tabs>
          <w:tab w:val="left" w:pos="851" w:leader="none"/>
        </w:tabs>
      </w:pPr>
      <w:rPr>
        <w:rFonts w:ascii="Symbol" w:hAnsi="Symbol"/>
        <w:color w:val="auto"/>
      </w:rPr>
    </w:lvl>
    <w:lvl w:ilvl="2" w:tplc="7F5D1AA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2476B5D5">
      <w:start w:val="1"/>
      <w:numFmt w:val="bullet"/>
      <w:suff w:val="tab"/>
      <w:lvlText w:val=""/>
      <w:lvlJc w:val="left"/>
      <w:pPr>
        <w:ind w:hanging="283" w:left="680"/>
        <w:tabs>
          <w:tab w:val="left" w:pos="323" w:leader="none"/>
        </w:tabs>
      </w:pPr>
      <w:rPr>
        <w:rFonts w:ascii="Symbol" w:hAnsi="Symbol"/>
        <w:color w:val="auto"/>
        <w:sz w:val="20"/>
      </w:rPr>
    </w:lvl>
    <w:lvl w:ilvl="1" w:tplc="0EEC1765">
      <w:start w:val="1"/>
      <w:numFmt w:val="bullet"/>
      <w:suff w:val="tab"/>
      <w:lvlText w:val=""/>
      <w:lvlJc w:val="left"/>
      <w:pPr>
        <w:ind w:hanging="284" w:left="851"/>
        <w:tabs>
          <w:tab w:val="left" w:pos="851" w:leader="none"/>
        </w:tabs>
      </w:pPr>
      <w:rPr>
        <w:rFonts w:ascii="Symbol" w:hAnsi="Symbol"/>
        <w:color w:val="auto"/>
      </w:rPr>
    </w:lvl>
    <w:lvl w:ilvl="2" w:tplc="05230CF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82B1BBB">
      <w:start w:val="1"/>
      <w:numFmt w:val="bullet"/>
      <w:suff w:val="tab"/>
      <w:lvlText w:val=""/>
      <w:lvlJc w:val="left"/>
      <w:pPr>
        <w:ind w:hanging="283" w:left="680"/>
        <w:tabs>
          <w:tab w:val="left" w:pos="323" w:leader="none"/>
        </w:tabs>
      </w:pPr>
      <w:rPr>
        <w:rFonts w:ascii="Symbol" w:hAnsi="Symbol"/>
        <w:color w:val="auto"/>
        <w:sz w:val="20"/>
      </w:rPr>
    </w:lvl>
    <w:lvl w:ilvl="1" w:tplc="2A84C83A">
      <w:start w:val="1"/>
      <w:numFmt w:val="bullet"/>
      <w:suff w:val="tab"/>
      <w:lvlText w:val=""/>
      <w:lvlJc w:val="left"/>
      <w:pPr>
        <w:ind w:hanging="284" w:left="851"/>
        <w:tabs>
          <w:tab w:val="left" w:pos="851" w:leader="none"/>
        </w:tabs>
      </w:pPr>
      <w:rPr>
        <w:rFonts w:ascii="Symbol" w:hAnsi="Symbol"/>
        <w:color w:val="auto"/>
      </w:rPr>
    </w:lvl>
    <w:lvl w:ilvl="2" w:tplc="083BF831">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65568F95">
      <w:start w:val="1"/>
      <w:numFmt w:val="bullet"/>
      <w:suff w:val="tab"/>
      <w:lvlText w:val=""/>
      <w:lvlJc w:val="left"/>
      <w:pPr>
        <w:ind w:hanging="283" w:left="680"/>
        <w:tabs>
          <w:tab w:val="left" w:pos="323" w:leader="none"/>
        </w:tabs>
      </w:pPr>
      <w:rPr>
        <w:rFonts w:ascii="Symbol" w:hAnsi="Symbol"/>
        <w:color w:val="auto"/>
        <w:sz w:val="20"/>
      </w:rPr>
    </w:lvl>
    <w:lvl w:ilvl="1" w:tplc="0040EDD5">
      <w:start w:val="1"/>
      <w:numFmt w:val="bullet"/>
      <w:suff w:val="tab"/>
      <w:lvlText w:val=""/>
      <w:lvlJc w:val="left"/>
      <w:pPr>
        <w:ind w:hanging="284" w:left="851"/>
        <w:tabs>
          <w:tab w:val="left" w:pos="851" w:leader="none"/>
        </w:tabs>
      </w:pPr>
      <w:rPr>
        <w:rFonts w:ascii="Symbol" w:hAnsi="Symbol"/>
        <w:color w:val="auto"/>
      </w:rPr>
    </w:lvl>
    <w:lvl w:ilvl="2" w:tplc="4619EF0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0">
    <w:nsid w:val="72087AF4"/>
    <w:multiLevelType w:val="hybridMultilevel"/>
    <w:lvl w:ilvl="0">
      <w:start w:val="1"/>
      <w:numFmt w:val="decimal"/>
      <w:suff w:val="tab"/>
      <w:lvlText w:val="%1)"/>
      <w:lvlJc w:val="left"/>
      <w:pPr>
        <w:ind w:hanging="360" w:left="360"/>
        <w:tabs>
          <w:tab w:val="left" w:pos="360" w:leader="none"/>
        </w:tabs>
      </w:pPr>
      <w:rPr/>
    </w:lvl>
    <w:lvl w:ilvl="1" w:tplc="118F551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0"/>
  </w:num>
  <w:num w:numId="19">
    <w:abstractNumId w:val="22"/>
  </w:num>
  <w:num w:numId="20">
    <w:abstractNumId w:val="19"/>
  </w:num>
  <w:num w:numId="21">
    <w:abstractNumId w:val="29"/>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rFonts w:ascii="Arial" w:hAnsi="Arial"/>
      <w:b w:val="1"/>
      <w:sz w:val="32"/>
    </w:rPr>
  </w:style>
  <w:style w:type="paragraph" w:styleId="P9">
    <w:name w:val="Caption"/>
    <w:basedOn w:val="P0"/>
    <w:next w:val="P0"/>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pmujov"/>
    <w:basedOn w:val="P0"/>
    <w:next w:val="P37"/>
    <w:pPr>
      <w:widowControl w:val="0"/>
      <w:spacing w:before="60"/>
      <w:ind w:firstLine="851"/>
      <w:jc w:val="both"/>
    </w:pPr>
    <w:rPr>
      <w:rFonts w:ascii="Times New Roman" w:hAnsi="Times New Roman"/>
      <w:sz w:val="22"/>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2013-03-07T08:56:00Z</dcterms:created>
  <cp:lastModifiedBy>Nikola Kapetanovic</cp:lastModifiedBy>
  <cp:lastPrinted>2012-04-09T10:45:00Z</cp:lastPrinted>
  <dcterms:modified xsi:type="dcterms:W3CDTF">2020-01-10T11:42:30Z</dcterms:modified>
  <cp:revision>7</cp:revision>
  <dc:title>                  </dc:title>
</cp:coreProperties>
</file>