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D539BA" Type="http://schemas.openxmlformats.org/officeDocument/2006/relationships/officeDocument" Target="/word/document.xml" /><Relationship Id="coreR60D539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047 - Year LXIII, 28/02/2013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SERB047 PM10 280213</w:t>
            </w:r>
          </w:p>
        </w:tc>
      </w:tr>
    </w:tbl>
    <w:p>
      <w:pPr>
        <w:pStyle w:val="P27"/>
      </w:pPr>
    </w:p>
    <w:p>
      <w:pPr>
        <w:pStyle w:val="P26"/>
        <w:spacing w:before="720"/>
      </w:pPr>
      <w:r>
        <w:t>Retail trade turnover in the Republic of Serbia, January 2013</w:t>
      </w:r>
    </w:p>
    <w:p>
      <w:pPr>
        <w:pStyle w:val="P21"/>
        <w:spacing w:before="360" w:after="360"/>
        <w:ind w:left="360"/>
      </w:pPr>
      <w:r>
        <w:t>– Preliminary results –</w:t>
      </w:r>
    </w:p>
    <w:p>
      <w:pPr>
        <w:pStyle w:val="P14"/>
        <w:spacing w:before="120" w:after="120"/>
        <w:ind w:firstLine="397"/>
        <w:rPr>
          <w:sz w:val="20"/>
        </w:rPr>
      </w:pPr>
      <w:r>
        <w:t>According to the preliminary results, the turnover of retail trade in the Republic of Serbia in January 2013, compared to January 2012, increased by 1.9% at current prices and decreased by 9.3% at constant prices. In January 2013 compared to December 2012, the turnover decreased by 26.1% at current prices and by 26.2% at constant prices. Retail trade turnover in January 2013, compared with 2012 average, decreased by 16.3% at current prices and by 20.4% at constant prices.</w:t>
      </w:r>
    </w:p>
    <w:p>
      <w:pPr>
        <w:pStyle w:val="P12"/>
        <w:ind w:firstLine="0" w:left="0"/>
        <w:jc w:val="center"/>
      </w:pPr>
    </w:p>
    <w:p>
      <w:pPr>
        <w:pStyle w:val="P12"/>
        <w:ind w:firstLine="0" w:left="0"/>
        <w:jc w:val="center"/>
      </w:pPr>
    </w:p>
    <w:p>
      <w:pPr>
        <w:pStyle w:val="P2"/>
        <w:ind w:left="0"/>
      </w:pPr>
    </w:p>
    <w:p>
      <w:pPr>
        <w:jc w:val="center"/>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3598545</wp:posOffset>
                </wp:positionH>
                <wp:positionV relativeFrom="paragraph">
                  <wp:posOffset>3489325</wp:posOffset>
                </wp:positionV>
                <wp:extent cx="744855" cy="114300"/>
                <wp:wrapNone/>
                <wp:docPr id="2" name="Text Box 2"/>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8.65pt;height:9pt;z-index:4;mso-wrap-distance-left:9pt;mso-wrap-distance-top:0pt;mso-wrap-distance-right:9pt;mso-wrap-distance-bottom:0pt;margin-left:283.35pt;margin-top:274.75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2609850</wp:posOffset>
                </wp:positionH>
                <wp:positionV relativeFrom="paragraph">
                  <wp:posOffset>3489960</wp:posOffset>
                </wp:positionV>
                <wp:extent cx="756285" cy="114300"/>
                <wp:wrapNone/>
                <wp:docPr id="4" name="Text Box 4"/>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9.55pt;height:9pt;z-index:3;mso-wrap-distance-left:9pt;mso-wrap-distance-top:0pt;mso-wrap-distance-right:9pt;mso-wrap-distance-bottom:0pt;margin-left:205.5pt;margin-top:274.8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571500</wp:posOffset>
                </wp:positionH>
                <wp:positionV relativeFrom="paragraph">
                  <wp:posOffset>2994660</wp:posOffset>
                </wp:positionV>
                <wp:extent cx="5486400" cy="342900"/>
                <wp:wrapNone/>
                <wp:docPr id="6" name="Text Box 6"/>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Jan        Feb      March     Apr       May     June       July       Aug      Sept     Oct     Nov         Dec      Jan</w:t>
                            </w:r>
                          </w:p>
                          <w:p>
                            <w:pPr>
                              <w:rPr>
                                <w:sz w:val="18"/>
                              </w:rPr>
                            </w:pPr>
                            <w:r>
                              <w:rPr>
                                <w:sz w:val="18"/>
                              </w:rPr>
                              <w:t xml:space="preserve">   2012                                                                                                                                                     2013</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32pt;height:27pt;z-index:2;mso-wrap-distance-left:9pt;mso-wrap-distance-top:0pt;mso-wrap-distance-right:9pt;mso-wrap-distance-bottom:0pt;margin-left:45pt;margin-top:235.8pt;mso-position-horizontal:absolute;mso-position-horizontal-relative:text;mso-position-vertical:absolute;mso-position-vertical-relative:text" stroked="f" o:allowincell="t">
                <v:textbox inset="0mm,0mm,0mm,0mm">
                  <w:txbxContent>
                    <w:p>
                      <w:pPr>
                        <w:rPr>
                          <w:sz w:val="18"/>
                        </w:rPr>
                      </w:pPr>
                      <w:r>
                        <w:rPr>
                          <w:sz w:val="18"/>
                        </w:rPr>
                        <w:t xml:space="preserve">    Jan        Feb      March     Apr       May     June       July       Aug      Sept     Oct     Nov         Dec      Jan</w:t>
                      </w:r>
                    </w:p>
                    <w:p>
                      <w:pPr>
                        <w:rPr>
                          <w:sz w:val="18"/>
                        </w:rPr>
                      </w:pPr>
                      <w:r>
                        <w:rPr>
                          <w:sz w:val="18"/>
                        </w:rPr>
                        <w:t xml:space="preserve">   2012                                                                                                                                                     2013</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1371600</wp:posOffset>
                </wp:positionH>
                <wp:positionV relativeFrom="paragraph">
                  <wp:posOffset>137160</wp:posOffset>
                </wp:positionV>
                <wp:extent cx="3429000" cy="571500"/>
                <wp:wrapNone/>
                <wp:docPr id="8" name="Text Box 8"/>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turnove</w:t>
                            </w:r>
                            <w:r>
                              <w:rPr>
                                <w:b w:val="1"/>
                              </w:rPr>
                              <w:t>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2011</w:t>
                            </w:r>
                            <w:r>
                              <w:rPr>
                                <w:b w:val="1"/>
                              </w:rPr>
                              <w:t>=100)</w:t>
                            </w:r>
                          </w:p>
                          <w:p>
                            <w:pPr>
                              <w:jc w:val="center"/>
                            </w:pPr>
                          </w:p>
                        </w:txbxContent>
                      </wps:txbx>
                      <wps:bodyPr/>
                    </wps:wsp>
                  </a:graphicData>
                </a:graphic>
              </wp:anchor>
            </w:drawing>
          </mc:Choice>
          <mc:Fallback>
            <w:pict>
              <v:shapetype id="9" path="m,l,21600r21600,l21600,xe"/>
              <v:shape xmlns:o="urn:schemas-microsoft-com:office:office" type="#9" id="Text Box 8" style="position:absolute;width:270pt;height:45pt;z-index:1;mso-wrap-distance-left:9pt;mso-wrap-distance-top:0pt;mso-wrap-distance-right:9pt;mso-wrap-distance-bottom:0pt;margin-left:108pt;margin-top:10.8pt;mso-position-horizontal:absolute;mso-position-horizontal-relative:text;mso-position-vertical:absolute;mso-position-vertical-relative:text" stroked="f" o:allowincell="t">
                <v:textbox>
                  <w:txbxContent>
                    <w:p>
                      <w:pPr>
                        <w:jc w:val="center"/>
                        <w:rPr>
                          <w:b w:val="1"/>
                        </w:rPr>
                      </w:pPr>
                      <w:r>
                        <w:rPr>
                          <w:b w:val="1"/>
                        </w:rPr>
                        <w:t>Retail trade turnove</w:t>
                      </w:r>
                      <w:r>
                        <w:rPr>
                          <w:b w:val="1"/>
                        </w:rPr>
                        <w:t>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2011</w:t>
                      </w:r>
                      <w:r>
                        <w:rPr>
                          <w:b w:val="1"/>
                        </w:rPr>
                        <w:t>=100)</w:t>
                      </w:r>
                    </w:p>
                    <w:p>
                      <w:pPr>
                        <w:jc w:val="center"/>
                      </w:pP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3475449"/>
      <w:bookmarkEnd w:id="27"/>
      <w:bookmarkStart w:id="28" w:name="_1423029574"/>
      <w:bookmarkEnd w:id="28"/>
      <w:bookmarkStart w:id="29" w:name="_1419945179"/>
      <w:bookmarkEnd w:id="29"/>
      <w:bookmarkStart w:id="30" w:name="_1418114923"/>
      <w:bookmarkEnd w:id="30"/>
      <w:bookmarkStart w:id="31" w:name="_1415608895"/>
      <w:bookmarkEnd w:id="31"/>
      <w:bookmarkStart w:id="32" w:name="_1412683599"/>
      <w:bookmarkEnd w:id="32"/>
      <w:bookmarkStart w:id="33" w:name="_1412683531"/>
      <w:bookmarkEnd w:id="33"/>
      <w:bookmarkStart w:id="34" w:name="_1410253915"/>
      <w:bookmarkEnd w:id="34"/>
      <w:bookmarkStart w:id="35" w:name="_1407583711"/>
      <w:bookmarkEnd w:id="35"/>
      <w:bookmarkStart w:id="36" w:name="_1401175561"/>
      <w:bookmarkEnd w:id="36"/>
      <w:bookmarkStart w:id="37" w:name="_1396959334"/>
      <w:bookmarkEnd w:id="37"/>
      <w:bookmarkStart w:id="38" w:name="_1396420409"/>
      <w:bookmarkEnd w:id="38"/>
      <w:bookmarkStart w:id="39" w:name="_1394517881"/>
      <w:bookmarkEnd w:id="39"/>
      <w:bookmarkStart w:id="40" w:name="_1394516914"/>
      <w:bookmarkEnd w:id="40"/>
      <w:bookmarkStart w:id="41" w:name="_1392536296"/>
      <w:bookmarkEnd w:id="41"/>
      <w:bookmarkStart w:id="42" w:name="_1362995495"/>
      <w:bookmarkEnd w:id="42"/>
      <w:bookmarkStart w:id="43" w:name="_1362995345"/>
      <w:bookmarkEnd w:id="43"/>
      <w:bookmarkStart w:id="44" w:name="_1362995231"/>
      <w:bookmarkEnd w:id="44"/>
      <w:bookmarkStart w:id="45" w:name="_1362995094"/>
      <w:bookmarkEnd w:id="45"/>
      <w:bookmarkStart w:id="46" w:name="_1360390771"/>
      <w:bookmarkEnd w:id="46"/>
      <w:bookmarkStart w:id="47" w:name="_1360389603"/>
      <w:bookmarkEnd w:id="47"/>
      <w:bookmarkStart w:id="48" w:name="_1360389179"/>
      <w:bookmarkEnd w:id="48"/>
      <w:bookmarkStart w:id="49" w:name="_1360145151"/>
      <w:bookmarkEnd w:id="49"/>
      <w:bookmarkStart w:id="50" w:name="_1359889055"/>
      <w:bookmarkEnd w:id="50"/>
      <w:bookmarkStart w:id="51" w:name="_1358683586"/>
      <w:bookmarkEnd w:id="51"/>
      <w:bookmarkStart w:id="52" w:name="_1358335734"/>
      <w:bookmarkEnd w:id="52"/>
      <w:bookmarkStart w:id="53" w:name="_1358335502"/>
      <w:bookmarkEnd w:id="53"/>
      <w:r>
        <w:fldChar w:fldCharType="separate"/>
      </w:r>
      <w:r>
        <w:drawing>
          <wp:inline xmlns:wp="http://schemas.openxmlformats.org/drawingml/2006/wordprocessingDrawing">
            <wp:extent cx="6133465"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33465" cy="3733165"/>
                    </a:xfrm>
                    <a:prstGeom prst="rect"/>
                    <a:noFill/>
                  </pic:spPr>
                </pic:pic>
              </a:graphicData>
            </a:graphic>
          </wp:inline>
        </w:drawing>
      </w:r>
      <w:r>
        <w:fldChar w:fldCharType="end"/>
      </w:r>
    </w:p>
    <w:p>
      <w:pPr>
        <w:pStyle w:val="P2"/>
        <w:spacing w:after="40"/>
        <w:ind w:left="0"/>
        <w:jc w:val="left"/>
      </w:pPr>
      <w:r>
        <w:br w:type="page"/>
      </w:r>
      <w:r>
        <w:rPr>
          <w:b w:val="0"/>
        </w:rPr>
        <w:t xml:space="preserve">1. </w:t>
      </w:r>
      <w:r>
        <w:t>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2488"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 2013</w:t>
            </w:r>
          </w:p>
          <w:p>
            <w:pPr>
              <w:jc w:val="center"/>
              <w:rPr>
                <w:sz w:val="16"/>
              </w:rPr>
            </w:pPr>
            <w:r>
              <w:rPr>
                <w:sz w:val="16"/>
              </w:rPr>
              <w:t>I 2012</w:t>
            </w:r>
          </w:p>
        </w:tc>
        <w:tc>
          <w:tcPr>
            <w:tcW w:w="2488"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 2013</w:t>
            </w:r>
          </w:p>
          <w:p>
            <w:pPr>
              <w:jc w:val="center"/>
              <w:rPr>
                <w:sz w:val="16"/>
              </w:rPr>
            </w:pPr>
            <w:r>
              <w:rPr>
                <w:sz w:val="16"/>
              </w:rPr>
              <w:t>XII 2012</w:t>
            </w:r>
          </w:p>
        </w:tc>
        <w:tc>
          <w:tcPr>
            <w:tcW w:w="2489"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 2013</w:t>
            </w:r>
          </w:p>
          <w:p>
            <w:pPr>
              <w:jc w:val="center"/>
              <w:rPr>
                <w:sz w:val="16"/>
              </w:rPr>
            </w:pPr>
            <w:r>
              <w:rPr>
                <w:sz w:val="16"/>
              </w:rPr>
              <w:t>Ø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1245"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rPr>
                <w:sz w:val="16"/>
              </w:rPr>
            </w:pPr>
          </w:p>
        </w:tc>
        <w:tc>
          <w:tcPr>
            <w:tcW w:w="1244" w:type="dxa"/>
            <w:tcBorders>
              <w:top w:val="none" w:sz="0" w:space="0" w:shadow="0" w:frame="0"/>
              <w:left w:val="single" w:sz="4" w:space="0" w:shadow="0" w:frame="0"/>
              <w:bottom w:val="none" w:sz="0" w:space="0" w:shadow="0" w:frame="0"/>
              <w:right w:val="none" w:sz="0" w:space="0" w:shadow="0" w:frame="0"/>
            </w:tcBorders>
          </w:tcPr>
          <w:p>
            <w:pPr>
              <w:ind w:right="288"/>
              <w:jc w:val="right"/>
              <w:rPr>
                <w:b w:val="1"/>
                <w:sz w:val="16"/>
              </w:rPr>
            </w:pPr>
          </w:p>
        </w:tc>
        <w:tc>
          <w:tcPr>
            <w:tcW w:w="1244" w:type="dxa"/>
            <w:tcBorders>
              <w:top w:val="none" w:sz="0" w:space="0" w:shadow="0" w:frame="0"/>
              <w:left w:val="none" w:sz="0" w:space="0" w:shadow="0" w:frame="0"/>
              <w:bottom w:val="none" w:sz="0" w:space="0" w:shadow="0" w:frame="0"/>
              <w:right w:val="none" w:sz="0" w:space="0" w:shadow="0" w:frame="0"/>
            </w:tcBorders>
          </w:tcPr>
          <w:p>
            <w:pPr>
              <w:ind w:right="288"/>
              <w:jc w:val="right"/>
              <w:rPr>
                <w:b w:val="1"/>
                <w:sz w:val="16"/>
              </w:rPr>
            </w:pPr>
          </w:p>
        </w:tc>
        <w:tc>
          <w:tcPr>
            <w:tcW w:w="1244" w:type="dxa"/>
            <w:tcBorders>
              <w:top w:val="none" w:sz="0" w:space="0" w:shadow="0" w:frame="0"/>
              <w:left w:val="none" w:sz="0" w:space="0" w:shadow="0" w:frame="0"/>
              <w:bottom w:val="none" w:sz="0" w:space="0" w:shadow="0" w:frame="0"/>
              <w:right w:val="none" w:sz="0" w:space="0" w:shadow="0" w:frame="0"/>
            </w:tcBorders>
          </w:tcPr>
          <w:p>
            <w:pPr>
              <w:ind w:right="288"/>
              <w:jc w:val="right"/>
              <w:rPr>
                <w:b w:val="1"/>
                <w:sz w:val="16"/>
              </w:rPr>
            </w:pPr>
          </w:p>
        </w:tc>
        <w:tc>
          <w:tcPr>
            <w:tcW w:w="1244" w:type="dxa"/>
            <w:tcBorders>
              <w:top w:val="none" w:sz="0" w:space="0" w:shadow="0" w:frame="0"/>
              <w:left w:val="none" w:sz="0" w:space="0" w:shadow="0" w:frame="0"/>
              <w:bottom w:val="none" w:sz="0" w:space="0" w:shadow="0" w:frame="0"/>
              <w:right w:val="none" w:sz="0" w:space="0" w:shadow="0" w:frame="0"/>
            </w:tcBorders>
          </w:tcPr>
          <w:p>
            <w:pPr>
              <w:ind w:right="288"/>
              <w:jc w:val="right"/>
              <w:rPr>
                <w:b w:val="1"/>
                <w:sz w:val="16"/>
              </w:rPr>
            </w:pPr>
          </w:p>
        </w:tc>
        <w:tc>
          <w:tcPr>
            <w:tcW w:w="1244" w:type="dxa"/>
            <w:tcBorders>
              <w:top w:val="none" w:sz="0" w:space="0" w:shadow="0" w:frame="0"/>
              <w:left w:val="none" w:sz="0" w:space="0" w:shadow="0" w:frame="0"/>
              <w:bottom w:val="none" w:sz="0" w:space="0" w:shadow="0" w:frame="0"/>
              <w:right w:val="none" w:sz="0" w:space="0" w:shadow="0" w:frame="0"/>
            </w:tcBorders>
          </w:tcPr>
          <w:p>
            <w:pPr>
              <w:ind w:right="288"/>
              <w:jc w:val="right"/>
              <w:rPr>
                <w:b w:val="1"/>
                <w:sz w:val="16"/>
              </w:rPr>
            </w:pPr>
          </w:p>
        </w:tc>
        <w:tc>
          <w:tcPr>
            <w:tcW w:w="1245" w:type="dxa"/>
            <w:tcBorders>
              <w:top w:val="none" w:sz="0" w:space="0" w:shadow="0" w:frame="0"/>
              <w:left w:val="none" w:sz="0" w:space="0" w:shadow="0" w:frame="0"/>
              <w:bottom w:val="none" w:sz="0" w:space="0" w:shadow="0" w:frame="0"/>
              <w:right w:val="none" w:sz="0" w:space="0" w:shadow="0" w:frame="0"/>
            </w:tcBorders>
          </w:tcPr>
          <w:p>
            <w:pPr>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101,9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90,7</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73,9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73,8</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83,7</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79,6</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98,3</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87,4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71,4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71,4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83,4</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79,2</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99,3</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88,3</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69,9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69,8</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79,2</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75,2</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109,4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97,4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78,9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78,5</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84,3</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79,9</w:t>
            </w:r>
          </w:p>
        </w:tc>
      </w:tr>
    </w:tbl>
    <w:p/>
    <w:p>
      <w:pPr>
        <w:spacing w:after="60"/>
        <w:jc w:val="both"/>
        <w:rPr>
          <w:b w:val="1"/>
        </w:rPr>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2488"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6"/>
                <w:u w:val="single"/>
              </w:rPr>
            </w:pPr>
            <w:r>
              <w:rPr>
                <w:sz w:val="16"/>
                <w:u w:val="single"/>
              </w:rPr>
              <w:t>I 2013</w:t>
            </w:r>
          </w:p>
          <w:p>
            <w:pPr>
              <w:jc w:val="center"/>
              <w:rPr>
                <w:sz w:val="16"/>
              </w:rPr>
            </w:pPr>
            <w:r>
              <w:rPr>
                <w:sz w:val="16"/>
              </w:rPr>
              <w:t>I 2012</w:t>
            </w:r>
          </w:p>
        </w:tc>
        <w:tc>
          <w:tcPr>
            <w:tcW w:w="2488"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6"/>
              </w:rPr>
            </w:pPr>
            <w:r>
              <w:rPr>
                <w:sz w:val="16"/>
              </w:rPr>
              <w:t>I 2013</w:t>
            </w:r>
          </w:p>
          <w:p>
            <w:pPr>
              <w:jc w:val="center"/>
              <w:rPr>
                <w:sz w:val="16"/>
              </w:rPr>
            </w:pPr>
            <w:r>
              <w:rPr>
                <w:sz w:val="16"/>
              </w:rPr>
              <w:t>XII 2012</w:t>
            </w:r>
          </w:p>
        </w:tc>
        <w:tc>
          <w:tcPr>
            <w:tcW w:w="2489"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6"/>
              </w:rPr>
            </w:pPr>
            <w:r>
              <w:rPr>
                <w:sz w:val="16"/>
              </w:rPr>
              <w:t>I 2013</w:t>
            </w:r>
          </w:p>
          <w:p>
            <w:pPr>
              <w:jc w:val="center"/>
              <w:rPr>
                <w:sz w:val="16"/>
              </w:rPr>
            </w:pPr>
            <w:r>
              <w:rPr>
                <w:sz w:val="16"/>
              </w:rPr>
              <w:t>Ø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1244"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1245"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7"/>
            <w:tcBorders>
              <w:top w:val="none" w:sz="0" w:space="0" w:shadow="0" w:frame="0"/>
              <w:left w:val="none" w:sz="0" w:space="0" w:shadow="0" w:frame="0"/>
              <w:bottom w:val="none" w:sz="0" w:space="0" w:shadow="0" w:frame="0"/>
              <w:right w:val="none" w:sz="0" w:space="0" w:shadow="0" w:frame="0"/>
            </w:tcBorders>
          </w:tcPr>
          <w:p>
            <w:pPr>
              <w:spacing w:before="120" w:after="12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101,9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90,7</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73,9</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73,8</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83,7</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b w:val="1"/>
                <w:sz w:val="16"/>
              </w:rPr>
            </w:pPr>
            <w:r>
              <w:rPr>
                <w:b w:val="1"/>
                <w:sz w:val="16"/>
              </w:rPr>
              <w:t>79,6</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103,5</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87,0</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77,3</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76,4</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89,4</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81,4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102,1</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94,5</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72,6</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72,1</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81,2</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77,5</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1244" w:type="dxa"/>
            <w:tcBorders>
              <w:top w:val="none" w:sz="0" w:space="0" w:shadow="0" w:frame="0"/>
              <w:left w:val="single" w:sz="4" w:space="0" w:shadow="0" w:frame="0"/>
              <w:bottom w:val="none" w:sz="0" w:space="0" w:shadow="0" w:frame="0"/>
              <w:right w:val="none" w:sz="0" w:space="0" w:shadow="0" w:frame="0"/>
            </w:tcBorders>
            <w:vAlign w:val="bottom"/>
          </w:tcPr>
          <w:p>
            <w:pPr>
              <w:spacing w:lineRule="auto" w:line="312"/>
              <w:ind w:right="288"/>
              <w:jc w:val="right"/>
              <w:rPr>
                <w:sz w:val="16"/>
              </w:rPr>
            </w:pPr>
            <w:r>
              <w:rPr>
                <w:sz w:val="16"/>
              </w:rPr>
              <w:t>98,7</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87,8</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69,5</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71,2</w:t>
            </w:r>
          </w:p>
        </w:tc>
        <w:tc>
          <w:tcPr>
            <w:tcW w:w="1244"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77,6</w:t>
            </w:r>
          </w:p>
        </w:tc>
        <w:tc>
          <w:tcPr>
            <w:tcW w:w="12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ind w:right="288"/>
              <w:jc w:val="right"/>
              <w:rPr>
                <w:sz w:val="16"/>
              </w:rPr>
            </w:pPr>
            <w:r>
              <w:rPr>
                <w:sz w:val="16"/>
              </w:rPr>
              <w:t>77,3</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of legal persons is obtained on the basis of regular monthly statistical survey “Monthly Survey of Retail Trade” and turnover of unincorporated enterprises is based on VAT reports received from Tax administration for the observed period. </w:t>
      </w:r>
    </w:p>
    <w:p>
      <w:pPr>
        <w:pStyle w:val="P12"/>
        <w:ind w:firstLine="397" w:left="0"/>
      </w:pPr>
      <w:r>
        <w:t xml:space="preserve">The survey includes the division 47 of the Classification of Activities - CA (“Official Gazette of RS”, No 54/2010), i.e. retail trade turnover, excluding retail trade turnover of motor vehicles, motorcycles and parts. </w:t>
      </w:r>
    </w:p>
    <w:p>
      <w:pPr>
        <w:ind w:firstLine="397"/>
        <w:jc w:val="both"/>
      </w:pPr>
      <w:r>
        <w:t xml:space="preserve">Collecting and publishing of the data on statistical territorial units is based on the Regulation of Nomenclature of Statistical Territorial Units (“Official Gazette of RS”, No 109/09 and 46/10), being applied since 2011. </w:t>
      </w:r>
    </w:p>
    <w:p>
      <w:pPr>
        <w:pStyle w:val="P12"/>
        <w:ind w:firstLine="397" w:left="0"/>
        <w:rPr>
          <w:color w:val="FF0000"/>
        </w:rPr>
      </w:pPr>
      <w:r>
        <w:t>The turnover in retail trade includes VAT.</w:t>
      </w:r>
      <w:r>
        <w:rPr>
          <w:color w:val="FF0000"/>
        </w:rPr>
        <w:t xml:space="preserve">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results, meaning that some corrections may appear on the basis of the obtained results in the quarterly statistical survey (for the set of legal entities) and processed quarterly VAT reports (for the set of unincorporated enterprises), which are published as a separate release.</w:t>
      </w:r>
    </w:p>
    <w:p>
      <w:pPr>
        <w:pStyle w:val="P13"/>
        <w:ind w:firstLine="397" w:left="0"/>
        <w:rPr>
          <w:sz w:val="20"/>
        </w:rPr>
      </w:pPr>
      <w:r>
        <w:rPr>
          <w:sz w:val="20"/>
        </w:rPr>
        <w:t>Seasonally adjusted retail trade turnover indices at constant prices are published in “Monthly statistical review”.</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SERB047 PM10 280213</w:t>
    </w:r>
  </w:p>
</w:ftr>
</file>

<file path=word/numbering.xml><?xml version="1.0" encoding="utf-8"?>
<w:numbering xmlns:w="http://schemas.openxmlformats.org/wordprocessingml/2006/main">
  <w:abstractNum w:abstractNumId="0">
    <w:nsid w:val="11E10CC8"/>
    <w:multiLevelType w:val="hybridMultilevel"/>
    <w:lvl w:ilvl="0" w:tplc="0A006DED">
      <w:start w:val="0"/>
      <w:numFmt w:val="bullet"/>
      <w:suff w:val="tab"/>
      <w:lvlText w:val="–"/>
      <w:lvlJc w:val="left"/>
      <w:pPr>
        <w:ind w:hanging="360" w:left="720"/>
        <w:tabs>
          <w:tab w:val="left" w:pos="720" w:leader="none"/>
        </w:tabs>
      </w:pPr>
      <w:rPr>
        <w:rFonts w:ascii="Arial" w:hAnsi="Arial"/>
      </w:rPr>
    </w:lvl>
    <w:lvl w:ilvl="1" w:tplc="479A38A1">
      <w:start w:val="1"/>
      <w:numFmt w:val="bullet"/>
      <w:suff w:val="tab"/>
      <w:lvlText w:val="o"/>
      <w:lvlJc w:val="left"/>
      <w:pPr>
        <w:ind w:hanging="360" w:left="1440"/>
        <w:tabs>
          <w:tab w:val="left" w:pos="1440" w:leader="none"/>
        </w:tabs>
      </w:pPr>
      <w:rPr>
        <w:rFonts w:ascii="Courier New" w:hAnsi="Courier New"/>
      </w:rPr>
    </w:lvl>
    <w:lvl w:ilvl="2" w:tplc="1DA20D41">
      <w:start w:val="1"/>
      <w:numFmt w:val="bullet"/>
      <w:suff w:val="tab"/>
      <w:lvlText w:val=""/>
      <w:lvlJc w:val="left"/>
      <w:pPr>
        <w:ind w:hanging="360" w:left="2160"/>
        <w:tabs>
          <w:tab w:val="left" w:pos="2160" w:leader="none"/>
        </w:tabs>
      </w:pPr>
      <w:rPr>
        <w:rFonts w:ascii="Wingdings" w:hAnsi="Wingdings"/>
      </w:rPr>
    </w:lvl>
    <w:lvl w:ilvl="3" w:tplc="106EDDC4">
      <w:start w:val="1"/>
      <w:numFmt w:val="bullet"/>
      <w:suff w:val="tab"/>
      <w:lvlText w:val=""/>
      <w:lvlJc w:val="left"/>
      <w:pPr>
        <w:ind w:hanging="360" w:left="2880"/>
        <w:tabs>
          <w:tab w:val="left" w:pos="2880" w:leader="none"/>
        </w:tabs>
      </w:pPr>
      <w:rPr>
        <w:rFonts w:ascii="Symbol" w:hAnsi="Symbol"/>
      </w:rPr>
    </w:lvl>
    <w:lvl w:ilvl="4" w:tplc="1719DC7D">
      <w:start w:val="1"/>
      <w:numFmt w:val="bullet"/>
      <w:suff w:val="tab"/>
      <w:lvlText w:val="o"/>
      <w:lvlJc w:val="left"/>
      <w:pPr>
        <w:ind w:hanging="360" w:left="3600"/>
        <w:tabs>
          <w:tab w:val="left" w:pos="3600" w:leader="none"/>
        </w:tabs>
      </w:pPr>
      <w:rPr>
        <w:rFonts w:ascii="Courier New" w:hAnsi="Courier New"/>
      </w:rPr>
    </w:lvl>
    <w:lvl w:ilvl="5" w:tplc="3A6BC193">
      <w:start w:val="1"/>
      <w:numFmt w:val="bullet"/>
      <w:suff w:val="tab"/>
      <w:lvlText w:val=""/>
      <w:lvlJc w:val="left"/>
      <w:pPr>
        <w:ind w:hanging="360" w:left="4320"/>
        <w:tabs>
          <w:tab w:val="left" w:pos="4320" w:leader="none"/>
        </w:tabs>
      </w:pPr>
      <w:rPr>
        <w:rFonts w:ascii="Wingdings" w:hAnsi="Wingdings"/>
      </w:rPr>
    </w:lvl>
    <w:lvl w:ilvl="6" w:tplc="0380C0A5">
      <w:start w:val="1"/>
      <w:numFmt w:val="bullet"/>
      <w:suff w:val="tab"/>
      <w:lvlText w:val=""/>
      <w:lvlJc w:val="left"/>
      <w:pPr>
        <w:ind w:hanging="360" w:left="5040"/>
        <w:tabs>
          <w:tab w:val="left" w:pos="5040" w:leader="none"/>
        </w:tabs>
      </w:pPr>
      <w:rPr>
        <w:rFonts w:ascii="Symbol" w:hAnsi="Symbol"/>
      </w:rPr>
    </w:lvl>
    <w:lvl w:ilvl="7" w:tplc="340A6D8D">
      <w:start w:val="1"/>
      <w:numFmt w:val="bullet"/>
      <w:suff w:val="tab"/>
      <w:lvlText w:val="o"/>
      <w:lvlJc w:val="left"/>
      <w:pPr>
        <w:ind w:hanging="360" w:left="5760"/>
        <w:tabs>
          <w:tab w:val="left" w:pos="5760" w:leader="none"/>
        </w:tabs>
      </w:pPr>
      <w:rPr>
        <w:rFonts w:ascii="Courier New" w:hAnsi="Courier New"/>
      </w:rPr>
    </w:lvl>
    <w:lvl w:ilvl="8" w:tplc="6B99CDB3">
      <w:start w:val="1"/>
      <w:numFmt w:val="bullet"/>
      <w:suff w:val="tab"/>
      <w:lvlText w:val=""/>
      <w:lvlJc w:val="left"/>
      <w:pPr>
        <w:ind w:hanging="360" w:left="6480"/>
        <w:tabs>
          <w:tab w:val="left" w:pos="6480" w:leader="none"/>
        </w:tabs>
      </w:pPr>
      <w:rPr>
        <w:rFonts w:ascii="Wingdings" w:hAnsi="Wingdings"/>
      </w:rPr>
    </w:lvl>
  </w:abstractNum>
  <w:abstractNum w:abstractNumId="1">
    <w:nsid w:val="21A3212D"/>
    <w:multiLevelType w:val="hybridMultilevel"/>
    <w:lvl w:ilvl="0" w:tplc="728B7591">
      <w:start w:val="0"/>
      <w:numFmt w:val="bullet"/>
      <w:suff w:val="tab"/>
      <w:lvlText w:val="-"/>
      <w:lvlJc w:val="left"/>
      <w:pPr>
        <w:ind w:hanging="360" w:left="720"/>
        <w:tabs>
          <w:tab w:val="left" w:pos="720" w:leader="none"/>
        </w:tabs>
      </w:pPr>
      <w:rPr>
        <w:rFonts w:ascii="Arial" w:hAnsi="Arial"/>
      </w:rPr>
    </w:lvl>
    <w:lvl w:ilvl="1" w:tplc="7030C44F">
      <w:start w:val="1"/>
      <w:numFmt w:val="bullet"/>
      <w:suff w:val="tab"/>
      <w:lvlText w:val="o"/>
      <w:lvlJc w:val="left"/>
      <w:pPr>
        <w:ind w:hanging="360" w:left="1440"/>
        <w:tabs>
          <w:tab w:val="left" w:pos="1440" w:leader="none"/>
        </w:tabs>
      </w:pPr>
      <w:rPr>
        <w:rFonts w:ascii="Courier New" w:hAnsi="Courier New"/>
      </w:rPr>
    </w:lvl>
    <w:lvl w:ilvl="2" w:tplc="3584C730">
      <w:start w:val="1"/>
      <w:numFmt w:val="bullet"/>
      <w:suff w:val="tab"/>
      <w:lvlText w:val=""/>
      <w:lvlJc w:val="left"/>
      <w:pPr>
        <w:ind w:hanging="360" w:left="2160"/>
        <w:tabs>
          <w:tab w:val="left" w:pos="2160" w:leader="none"/>
        </w:tabs>
      </w:pPr>
      <w:rPr>
        <w:rFonts w:ascii="Wingdings" w:hAnsi="Wingdings"/>
      </w:rPr>
    </w:lvl>
    <w:lvl w:ilvl="3" w:tplc="47A8B6F1">
      <w:start w:val="1"/>
      <w:numFmt w:val="bullet"/>
      <w:suff w:val="tab"/>
      <w:lvlText w:val=""/>
      <w:lvlJc w:val="left"/>
      <w:pPr>
        <w:ind w:hanging="360" w:left="2880"/>
        <w:tabs>
          <w:tab w:val="left" w:pos="2880" w:leader="none"/>
        </w:tabs>
      </w:pPr>
      <w:rPr>
        <w:rFonts w:ascii="Symbol" w:hAnsi="Symbol"/>
      </w:rPr>
    </w:lvl>
    <w:lvl w:ilvl="4" w:tplc="78FA8FA5">
      <w:start w:val="1"/>
      <w:numFmt w:val="bullet"/>
      <w:suff w:val="tab"/>
      <w:lvlText w:val="o"/>
      <w:lvlJc w:val="left"/>
      <w:pPr>
        <w:ind w:hanging="360" w:left="3600"/>
        <w:tabs>
          <w:tab w:val="left" w:pos="3600" w:leader="none"/>
        </w:tabs>
      </w:pPr>
      <w:rPr>
        <w:rFonts w:ascii="Courier New" w:hAnsi="Courier New"/>
      </w:rPr>
    </w:lvl>
    <w:lvl w:ilvl="5" w:tplc="5F773001">
      <w:start w:val="1"/>
      <w:numFmt w:val="bullet"/>
      <w:suff w:val="tab"/>
      <w:lvlText w:val=""/>
      <w:lvlJc w:val="left"/>
      <w:pPr>
        <w:ind w:hanging="360" w:left="4320"/>
        <w:tabs>
          <w:tab w:val="left" w:pos="4320" w:leader="none"/>
        </w:tabs>
      </w:pPr>
      <w:rPr>
        <w:rFonts w:ascii="Wingdings" w:hAnsi="Wingdings"/>
      </w:rPr>
    </w:lvl>
    <w:lvl w:ilvl="6" w:tplc="1468F636">
      <w:start w:val="1"/>
      <w:numFmt w:val="bullet"/>
      <w:suff w:val="tab"/>
      <w:lvlText w:val=""/>
      <w:lvlJc w:val="left"/>
      <w:pPr>
        <w:ind w:hanging="360" w:left="5040"/>
        <w:tabs>
          <w:tab w:val="left" w:pos="5040" w:leader="none"/>
        </w:tabs>
      </w:pPr>
      <w:rPr>
        <w:rFonts w:ascii="Symbol" w:hAnsi="Symbol"/>
      </w:rPr>
    </w:lvl>
    <w:lvl w:ilvl="7" w:tplc="41D30C62">
      <w:start w:val="1"/>
      <w:numFmt w:val="bullet"/>
      <w:suff w:val="tab"/>
      <w:lvlText w:val="o"/>
      <w:lvlJc w:val="left"/>
      <w:pPr>
        <w:ind w:hanging="360" w:left="5760"/>
        <w:tabs>
          <w:tab w:val="left" w:pos="5760" w:leader="none"/>
        </w:tabs>
      </w:pPr>
      <w:rPr>
        <w:rFonts w:ascii="Courier New" w:hAnsi="Courier New"/>
      </w:rPr>
    </w:lvl>
    <w:lvl w:ilvl="8" w:tplc="6DBE2E8B">
      <w:start w:val="1"/>
      <w:numFmt w:val="bullet"/>
      <w:suff w:val="tab"/>
      <w:lvlText w:val=""/>
      <w:lvlJc w:val="left"/>
      <w:pPr>
        <w:ind w:hanging="360" w:left="6480"/>
        <w:tabs>
          <w:tab w:val="left" w:pos="6480" w:leader="none"/>
        </w:tabs>
      </w:pPr>
      <w:rPr>
        <w:rFonts w:ascii="Wingdings" w:hAnsi="Wingdings"/>
      </w:rPr>
    </w:lvl>
  </w:abstractNum>
  <w:abstractNum w:abstractNumId="2">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
    <w:nsid w:val="6B666B95"/>
    <w:multiLevelType w:val="hybridMultilevel"/>
    <w:lvl w:ilvl="0" w:tplc="67914132">
      <w:start w:val="0"/>
      <w:numFmt w:val="bullet"/>
      <w:suff w:val="tab"/>
      <w:lvlText w:val="-"/>
      <w:lvlJc w:val="left"/>
      <w:pPr>
        <w:ind w:hanging="360" w:left="720"/>
        <w:tabs>
          <w:tab w:val="left" w:pos="720" w:leader="none"/>
        </w:tabs>
      </w:pPr>
      <w:rPr>
        <w:rFonts w:ascii="Times New Roman" w:hAnsi="Times New Roman"/>
      </w:rPr>
    </w:lvl>
    <w:lvl w:ilvl="1" w:tplc="45D73579">
      <w:start w:val="1"/>
      <w:numFmt w:val="bullet"/>
      <w:suff w:val="tab"/>
      <w:lvlText w:val="o"/>
      <w:lvlJc w:val="left"/>
      <w:pPr>
        <w:ind w:hanging="360" w:left="1440"/>
        <w:tabs>
          <w:tab w:val="left" w:pos="1440" w:leader="none"/>
        </w:tabs>
      </w:pPr>
      <w:rPr>
        <w:rFonts w:ascii="Courier New" w:hAnsi="Courier New"/>
      </w:rPr>
    </w:lvl>
    <w:lvl w:ilvl="2" w:tplc="026A5DAA">
      <w:start w:val="1"/>
      <w:numFmt w:val="bullet"/>
      <w:suff w:val="tab"/>
      <w:lvlText w:val=""/>
      <w:lvlJc w:val="left"/>
      <w:pPr>
        <w:ind w:hanging="360" w:left="2160"/>
        <w:tabs>
          <w:tab w:val="left" w:pos="2160" w:leader="none"/>
        </w:tabs>
      </w:pPr>
      <w:rPr>
        <w:rFonts w:ascii="Wingdings" w:hAnsi="Wingdings"/>
      </w:rPr>
    </w:lvl>
    <w:lvl w:ilvl="3" w:tplc="09BF8118">
      <w:start w:val="1"/>
      <w:numFmt w:val="bullet"/>
      <w:suff w:val="tab"/>
      <w:lvlText w:val=""/>
      <w:lvlJc w:val="left"/>
      <w:pPr>
        <w:ind w:hanging="360" w:left="2880"/>
        <w:tabs>
          <w:tab w:val="left" w:pos="2880" w:leader="none"/>
        </w:tabs>
      </w:pPr>
      <w:rPr>
        <w:rFonts w:ascii="Symbol" w:hAnsi="Symbol"/>
      </w:rPr>
    </w:lvl>
    <w:lvl w:ilvl="4" w:tplc="01804A96">
      <w:start w:val="1"/>
      <w:numFmt w:val="bullet"/>
      <w:suff w:val="tab"/>
      <w:lvlText w:val="o"/>
      <w:lvlJc w:val="left"/>
      <w:pPr>
        <w:ind w:hanging="360" w:left="3600"/>
        <w:tabs>
          <w:tab w:val="left" w:pos="3600" w:leader="none"/>
        </w:tabs>
      </w:pPr>
      <w:rPr>
        <w:rFonts w:ascii="Courier New" w:hAnsi="Courier New"/>
      </w:rPr>
    </w:lvl>
    <w:lvl w:ilvl="5" w:tplc="0C12B92E">
      <w:start w:val="1"/>
      <w:numFmt w:val="bullet"/>
      <w:suff w:val="tab"/>
      <w:lvlText w:val=""/>
      <w:lvlJc w:val="left"/>
      <w:pPr>
        <w:ind w:hanging="360" w:left="4320"/>
        <w:tabs>
          <w:tab w:val="left" w:pos="4320" w:leader="none"/>
        </w:tabs>
      </w:pPr>
      <w:rPr>
        <w:rFonts w:ascii="Wingdings" w:hAnsi="Wingdings"/>
      </w:rPr>
    </w:lvl>
    <w:lvl w:ilvl="6" w:tplc="717E4317">
      <w:start w:val="1"/>
      <w:numFmt w:val="bullet"/>
      <w:suff w:val="tab"/>
      <w:lvlText w:val=""/>
      <w:lvlJc w:val="left"/>
      <w:pPr>
        <w:ind w:hanging="360" w:left="5040"/>
        <w:tabs>
          <w:tab w:val="left" w:pos="5040" w:leader="none"/>
        </w:tabs>
      </w:pPr>
      <w:rPr>
        <w:rFonts w:ascii="Symbol" w:hAnsi="Symbol"/>
      </w:rPr>
    </w:lvl>
    <w:lvl w:ilvl="7" w:tplc="5208A878">
      <w:start w:val="1"/>
      <w:numFmt w:val="bullet"/>
      <w:suff w:val="tab"/>
      <w:lvlText w:val="o"/>
      <w:lvlJc w:val="left"/>
      <w:pPr>
        <w:ind w:hanging="360" w:left="5760"/>
        <w:tabs>
          <w:tab w:val="left" w:pos="5760" w:leader="none"/>
        </w:tabs>
      </w:pPr>
      <w:rPr>
        <w:rFonts w:ascii="Courier New" w:hAnsi="Courier New"/>
      </w:rPr>
    </w:lvl>
    <w:lvl w:ilvl="8" w:tplc="2A954B82">
      <w:start w:val="1"/>
      <w:numFmt w:val="bullet"/>
      <w:suff w:val="tab"/>
      <w:lvlText w:val=""/>
      <w:lvlJc w:val="left"/>
      <w:pPr>
        <w:ind w:hanging="360" w:left="6480"/>
        <w:tabs>
          <w:tab w:val="left" w:pos="6480" w:leader="none"/>
        </w:tabs>
      </w:pPr>
      <w:rPr>
        <w:rFonts w:ascii="Wingdings" w:hAnsi="Wingdings"/>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2013-02-28T14:04:00Z</dcterms:created>
  <cp:lastModifiedBy>Nikola Kapetanovic</cp:lastModifiedBy>
  <cp:lastPrinted>2013-03-04T07:21:00Z</cp:lastPrinted>
  <dcterms:modified xsi:type="dcterms:W3CDTF">2020-01-10T11:42:30Z</dcterms:modified>
  <cp:revision>12</cp:revision>
  <dc:title>Промет робе у трговини на мало у Републици Србији, јануар 2003</dc:title>
</cp:coreProperties>
</file>