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0BF2C68" Type="http://schemas.openxmlformats.org/officeDocument/2006/relationships/officeDocument" Target="/word/document.xml" /><Relationship Id="coreR10BF2C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029 – Year LXIII, 14/02/2013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SERB029 GR30 140213</w:t>
            </w:r>
          </w:p>
        </w:tc>
      </w:tr>
    </w:tbl>
    <w:p/>
    <w:p>
      <w:pPr>
        <w:spacing w:before="600" w:after="120"/>
        <w:jc w:val="center"/>
        <w:rPr>
          <w:b w:val="0"/>
          <w:sz w:val="24"/>
        </w:rPr>
      </w:pPr>
      <w:r>
        <w:rPr>
          <w:b w:val="1"/>
          <w:sz w:val="24"/>
        </w:rPr>
        <w:t xml:space="preserve">Issued building permits in the Republic of Serbia, </w:t>
      </w:r>
      <w:r>
        <w:rPr>
          <w:b w:val="1"/>
          <w:sz w:val="24"/>
        </w:rPr>
        <w:t>Dec</w:t>
      </w:r>
      <w:r>
        <w:rPr>
          <w:b w:val="1"/>
          <w:sz w:val="24"/>
        </w:rPr>
        <w:t>em</w:t>
      </w:r>
      <w:r>
        <w:rPr>
          <w:b w:val="1"/>
          <w:sz w:val="24"/>
        </w:rPr>
        <w:t>ber</w:t>
      </w:r>
      <w:r>
        <w:rPr>
          <w:b w:val="1"/>
          <w:sz w:val="24"/>
        </w:rPr>
        <w:t xml:space="preserve"> 201</w:t>
      </w:r>
      <w:r>
        <w:rPr>
          <w:b w:val="1"/>
          <w:sz w:val="24"/>
        </w:rPr>
        <w:t>2</w:t>
      </w:r>
      <w:r>
        <w:rPr>
          <w:b w:val="1"/>
          <w:sz w:val="24"/>
        </w:rPr>
        <w:t xml:space="preserve">  </w:t>
      </w:r>
    </w:p>
    <w:p>
      <w:pPr>
        <w:jc w:val="center"/>
        <w:rPr>
          <w:b w:val="0"/>
          <w:sz w:val="22"/>
        </w:rPr>
      </w:pPr>
      <w:r>
        <w:rPr>
          <w:b w:val="1"/>
          <w:sz w:val="22"/>
        </w:rPr>
        <w:t>– Preliminary results –</w:t>
      </w:r>
    </w:p>
    <w:p>
      <w:pPr>
        <w:jc w:val="center"/>
      </w:pPr>
    </w:p>
    <w:p>
      <w:pPr>
        <w:spacing w:before="120" w:after="120"/>
        <w:ind w:firstLine="397"/>
        <w:jc w:val="both"/>
        <w:rPr>
          <w:vertAlign w:val="superscript"/>
        </w:rPr>
      </w:pPr>
      <w:r>
        <w:t>On the basis of the number of issued permits in December 2012, building of 536 dwellings with average area of 70.4 m</w:t>
      </w:r>
      <w:r>
        <w:rPr>
          <w:vertAlign w:val="superscript"/>
        </w:rPr>
        <w:t xml:space="preserve">2 </w:t>
      </w:r>
      <w:r>
        <w:t>was recorded. Number of dwellings decreased, according to the issued permits, by 41.2% when compared to December 2011. Out of the total number of dwellings in new residential buildings, 19.4% of dwellings will be built in single – dwelling buildings, with average area of 121.2 m</w:t>
      </w:r>
      <w:r>
        <w:rPr>
          <w:vertAlign w:val="superscript"/>
        </w:rPr>
        <w:t>2</w:t>
      </w:r>
      <w:r>
        <w:t>, while 74.9% of dwellings will be in the buildings with three and more dwellings, with significantly smaller average area of 55.5 m</w:t>
      </w:r>
      <w:r>
        <w:rPr>
          <w:vertAlign w:val="superscript"/>
        </w:rPr>
        <w:t>2</w:t>
      </w:r>
      <w:r>
        <w:t xml:space="preserve">. </w:t>
      </w:r>
      <w:r>
        <w:rPr>
          <w:vertAlign w:val="superscript"/>
        </w:rPr>
        <w:t xml:space="preserve"> </w:t>
      </w:r>
    </w:p>
    <w:p>
      <w:pPr>
        <w:spacing w:before="120" w:after="120"/>
        <w:ind w:firstLine="397"/>
        <w:jc w:val="both"/>
      </w:pPr>
      <w:r>
        <w:t xml:space="preserve">In December 2012, 502 building permits were issued, presenting the decrease of 21.2% when compared to December 2011. Index of anticipated value of works in December 2012 is by 96.4% higher than in December 2011, resulting mainly from the issued permit regarding the construction of wind farm “Plandiste”.  </w:t>
      </w:r>
    </w:p>
    <w:p>
      <w:pPr>
        <w:spacing w:before="120" w:after="120"/>
        <w:ind w:firstLine="397"/>
        <w:jc w:val="both"/>
      </w:pPr>
      <w:r>
        <w:t xml:space="preserve">Observed by types of constructions, in December 2012, 74.5% of issued permits related to buildings and 25.5% to civil engineering. When referring only to buildings, 71.9% related to residential buildings and 28.1% to non–residential ones, while regarding civil engineering, the largest number related to pipelines, communication and electric power lines, 75.0%.   </w:t>
      </w:r>
    </w:p>
    <w:p>
      <w:pPr>
        <w:spacing w:before="120" w:after="120"/>
        <w:ind w:firstLine="397"/>
        <w:jc w:val="both"/>
      </w:pPr>
      <w:r>
        <w:t xml:space="preserve">Anticipated value of works on new building in December 2012 amounts to 95.2% of totally anticipated value of works. Observed by areas, the greatest construction activity was noted in South Banat, 66.4% of the anticipated value of works on new construction, followed by Belgrade area, 11.5%, South Backa, 8.2%, Srem, 2.4% and West Backa, 2.0%, while the shares of other areas were up to 1.1%.  </w:t>
      </w:r>
    </w:p>
    <w:p>
      <w:pPr>
        <w:spacing w:before="120" w:after="120"/>
        <w:ind w:firstLine="397"/>
        <w:jc w:val="both"/>
      </w:pPr>
      <w:r>
        <w:t xml:space="preserve">Besides the presented data, detailed monthly data regarding this activity are available on the website of the Office </w:t>
      </w:r>
      <w:r>
        <w:fldChar w:fldCharType="begin"/>
      </w:r>
      <w:r>
        <w:instrText xml:space="preserve"> HYPERLINK "http://www.stat.gov.rs" </w:instrText>
      </w:r>
      <w:r>
        <w:fldChar w:fldCharType="separate"/>
      </w:r>
      <w:r>
        <w:rPr>
          <w:rStyle w:val="C2"/>
          <w:color w:val="auto"/>
        </w:rPr>
        <w:t>www.stat.gov.rs</w:t>
      </w:r>
      <w:r>
        <w:rPr>
          <w:rStyle w:val="C2"/>
          <w:color w:val="auto"/>
        </w:rPr>
        <w:fldChar w:fldCharType="end"/>
      </w:r>
      <w:r>
        <w:t xml:space="preserve"> (Construction Activity and databases). </w:t>
      </w:r>
    </w:p>
    <w:p>
      <w:pPr>
        <w:spacing w:before="120" w:after="120"/>
        <w:ind w:firstLine="397"/>
        <w:jc w:val="both"/>
        <w:rPr>
          <w:color w:val="FF0000"/>
        </w:rPr>
      </w:pPr>
    </w:p>
    <w:p>
      <w:pPr>
        <w:spacing w:before="120" w:after="120"/>
        <w:ind w:firstLine="397"/>
        <w:jc w:val="both"/>
        <w:rPr>
          <w:color w:val="FF0000"/>
        </w:rPr>
      </w:pPr>
      <w:r>
        <mc:AlternateContent>
          <mc:Choice Requires="wps">
            <w:rPr>
              <w:color w:val="FF0000"/>
            </w:rPr>
            <w:drawing>
              <wp:anchor xmlns:wp="http://schemas.openxmlformats.org/drawingml/2006/wordprocessingDrawing" simplePos="0" allowOverlap="0" behindDoc="0" layoutInCell="1" locked="0" relativeHeight="3" distL="114300" distR="114300">
                <wp:simplePos x="0" y="0"/>
                <wp:positionH relativeFrom="column">
                  <wp:posOffset>2081530</wp:posOffset>
                </wp:positionH>
                <wp:positionV relativeFrom="paragraph">
                  <wp:posOffset>3289300</wp:posOffset>
                </wp:positionV>
                <wp:extent cx="445770" cy="125730"/>
                <wp:wrapNone/>
                <wp:docPr id="2" name="Text Box 2"/>
                <a:graphic xmlns:a="http://schemas.openxmlformats.org/drawingml/2006/main">
                  <a:graphicData uri="http://schemas.microsoft.com/office/word/2010/wordprocessingShape">
                    <wps:wsp>
                      <wps:cNvSpPr/>
                      <wps:spPr>
                        <a:xfrm>
                          <a:off x="0" y="0"/>
                          <a:ext cx="445770" cy="12573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35.1pt;height:9.9pt;z-index:3;mso-wrap-distance-left:9pt;mso-wrap-distance-top:0pt;mso-wrap-distance-right:9pt;mso-wrap-distance-bottom:0pt;margin-left:163.9pt;margin-top:259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5" distL="114300" distR="114300">
                <wp:simplePos x="0" y="0"/>
                <wp:positionH relativeFrom="column">
                  <wp:posOffset>3974465</wp:posOffset>
                </wp:positionH>
                <wp:positionV relativeFrom="paragraph">
                  <wp:posOffset>3285490</wp:posOffset>
                </wp:positionV>
                <wp:extent cx="977900" cy="140335"/>
                <wp:wrapNone/>
                <wp:docPr id="4" name="Text Box 4"/>
                <a:graphic xmlns:a="http://schemas.openxmlformats.org/drawingml/2006/main">
                  <a:graphicData uri="http://schemas.microsoft.com/office/word/2010/wordprocessingShape">
                    <wps:wsp>
                      <wps:cNvSpPr/>
                      <wps:spPr>
                        <a:xfrm>
                          <a:off x="0" y="0"/>
                          <a:ext cx="977900" cy="140335"/>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5" path="m,l,21600r21600,l21600,xe"/>
              <v:shape xmlns:o="urn:schemas-microsoft-com:office:office" type="#5" id="Text Box 4" style="position:absolute;width:77pt;height:11.05pt;z-index:5;mso-wrap-distance-left:9pt;mso-wrap-distance-top:0pt;mso-wrap-distance-right:9pt;mso-wrap-distance-bottom:0pt;margin-left:312.95pt;margin-top:258.7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4" distL="114300" distR="114300">
                <wp:simplePos x="0" y="0"/>
                <wp:positionH relativeFrom="column">
                  <wp:posOffset>2752090</wp:posOffset>
                </wp:positionH>
                <wp:positionV relativeFrom="paragraph">
                  <wp:posOffset>3271520</wp:posOffset>
                </wp:positionV>
                <wp:extent cx="922020" cy="125095"/>
                <wp:wrapNone/>
                <wp:docPr id="6" name="Text Box 6"/>
                <a:graphic xmlns:a="http://schemas.openxmlformats.org/drawingml/2006/main">
                  <a:graphicData uri="http://schemas.microsoft.com/office/word/2010/wordprocessingShape">
                    <wps:wsp>
                      <wps:cNvSpPr/>
                      <wps:spPr>
                        <a:xfrm>
                          <a:off x="0" y="0"/>
                          <a:ext cx="922020" cy="125095"/>
                        </a:xfrm>
                        <a:prstGeom prst="rect"/>
                      </wps:spPr>
                      <wps:txbx>
                        <w:txbxContent>
                          <w:p>
                            <w:pPr>
                              <w:rPr>
                                <w:sz w:val="12"/>
                              </w:rPr>
                            </w:pPr>
                            <w:r>
                              <w:rPr>
                                <w:sz w:val="12"/>
                              </w:rPr>
                              <w:t>Residential buildings</w:t>
                            </w:r>
                          </w:p>
                        </w:txbxContent>
                      </wps:txbx>
                      <wps:bodyPr lIns="0" tIns="0" rIns="0" bIns="0"/>
                    </wps:wsp>
                  </a:graphicData>
                </a:graphic>
              </wp:anchor>
            </w:drawing>
          </mc:Choice>
          <mc:Fallback>
            <w:pict>
              <v:shapetype id="7" path="m,l,21600r21600,l21600,xe"/>
              <v:shape xmlns:o="urn:schemas-microsoft-com:office:office" type="#7" id="Text Box 6" style="position:absolute;width:72.6pt;height:9.85pt;z-index:4;mso-wrap-distance-left:9pt;mso-wrap-distance-top:0pt;mso-wrap-distance-right:9pt;mso-wrap-distance-bottom:0pt;margin-left:216.7pt;margin-top:257.6pt;mso-position-horizontal:absolute;mso-position-horizontal-relative:text;mso-position-vertical:absolute;mso-position-vertical-relative:text" stroked="f" o:allowincell="t">
                <v:textbox inset="0mm,0mm,0mm,0mm">
                  <w:txbxContent>
                    <w:p>
                      <w:pPr>
                        <w:rPr>
                          <w:sz w:val="12"/>
                        </w:rPr>
                      </w:pPr>
                      <w:r>
                        <w:rPr>
                          <w:sz w:val="12"/>
                        </w:rPr>
                        <w:t>Residential buildings</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467995</wp:posOffset>
                </wp:positionH>
                <wp:positionV relativeFrom="paragraph">
                  <wp:posOffset>240030</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36.85pt;margin-top:18.9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1019810</wp:posOffset>
                </wp:positionH>
                <wp:positionV relativeFrom="paragraph">
                  <wp:posOffset>72390</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Area of new buildings in the Repu</w:t>
                            </w:r>
                            <w:r>
                              <w:rPr>
                                <w:b w:val="1"/>
                                <w:sz w:val="16"/>
                              </w:rPr>
                              <w:t>blic of Serbia, according to purpose</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80.3pt;margin-top:5.7pt;mso-position-horizontal:absolute;mso-position-horizontal-relative:text;mso-position-vertical:absolute;mso-position-vertical-relative:text" stroked="f" o:allowincell="t">
                <v:textbox inset="0mm,0mm,0mm,0mm">
                  <w:txbxContent>
                    <w:p>
                      <w:pPr>
                        <w:jc w:val="center"/>
                        <w:rPr>
                          <w:b w:val="0"/>
                          <w:sz w:val="16"/>
                        </w:rPr>
                      </w:pPr>
                      <w:r>
                        <w:rPr>
                          <w:b w:val="1"/>
                          <w:sz w:val="16"/>
                        </w:rPr>
                        <w:t>Area of new buildings in the Repu</w:t>
                      </w:r>
                      <w:r>
                        <w:rPr>
                          <w:b w:val="1"/>
                          <w:sz w:val="16"/>
                        </w:rPr>
                        <w:t>blic of Serbia, according to purpose</w:t>
                      </w:r>
                    </w:p>
                  </w:txbxContent>
                </v:textbox>
              </v:shape>
            </w:pict>
          </mc:Fallback>
        </mc:AlternateContent>
      </w:r>
      <w:r>
        <w:drawing>
          <wp:inline xmlns:wp="http://schemas.openxmlformats.org/drawingml/2006/wordprocessingDrawing">
            <wp:extent cx="5847715" cy="353314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5847715" cy="3533140"/>
                    </a:xfrm>
                    <a:prstGeom prst="rect"/>
                    <a:noFill/>
                  </pic:spPr>
                </pic:pic>
              </a:graphicData>
            </a:graphic>
          </wp:inline>
        </w:drawing>
      </w:r>
    </w:p>
    <w:p>
      <w:pPr>
        <w:spacing w:after="40"/>
        <w:jc w:val="center"/>
        <w:rPr>
          <w:b w:val="0"/>
        </w:rPr>
      </w:pPr>
    </w:p>
    <w:p>
      <w:pPr>
        <w:spacing w:after="40"/>
        <w:jc w:val="center"/>
        <w:rPr>
          <w:b w:val="0"/>
        </w:rPr>
      </w:pPr>
      <w:r>
        <w:rPr>
          <w:b w:val="1"/>
        </w:rPr>
        <w:t>Indices of issued building permits in the Republic of Serbia</w:t>
      </w:r>
    </w:p>
    <w:tbl>
      <w:tblPr>
        <w:tblStyle w:val="T3"/>
        <w:tblW w:w="9582"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tcBorders>
              <w:top w:val="single" w:sz="4" w:space="0" w:shadow="0" w:frame="0"/>
              <w:bottom w:val="single" w:sz="4" w:space="0" w:shadow="0" w:frame="0"/>
              <w:right w:val="single" w:sz="4" w:space="0" w:shadow="0" w:frame="0"/>
            </w:tcBorders>
          </w:tcPr>
          <w:p>
            <w:pPr>
              <w:pStyle w:val="P41"/>
              <w:spacing w:lineRule="auto" w:line="312" w:before="0"/>
              <w:ind w:firstLine="0"/>
              <w:jc w:val="left"/>
              <w:rPr>
                <w:b w:val="0"/>
                <w:sz w:val="16"/>
              </w:rPr>
            </w:pP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I–XII 2012</w:t>
            </w:r>
          </w:p>
          <w:p>
            <w:pPr>
              <w:jc w:val="center"/>
              <w:rPr>
                <w:sz w:val="16"/>
              </w:rPr>
            </w:pPr>
          </w:p>
          <w:p>
            <w:pPr>
              <w:jc w:val="center"/>
              <w:rPr>
                <w:color w:val="FF0000"/>
                <w:sz w:val="16"/>
              </w:rPr>
            </w:pPr>
            <w:r>
              <w:rPr>
                <w:sz w:val="16"/>
              </w:rPr>
              <w:t>I–XII 2011</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XII 2012</w:t>
            </w:r>
          </w:p>
          <w:p>
            <w:pPr>
              <w:jc w:val="center"/>
              <w:rPr>
                <w:sz w:val="16"/>
              </w:rPr>
            </w:pPr>
          </w:p>
          <w:p>
            <w:pPr>
              <w:jc w:val="center"/>
              <w:rPr>
                <w:color w:val="FF0000"/>
                <w:sz w:val="16"/>
              </w:rPr>
            </w:pPr>
            <w:r>
              <w:rPr>
                <w:sz w:val="16"/>
              </w:rPr>
              <w:t>XI 2012</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XII 2012</w:t>
            </w:r>
          </w:p>
          <w:p>
            <w:pPr>
              <w:jc w:val="center"/>
              <w:rPr>
                <w:sz w:val="16"/>
              </w:rPr>
            </w:pPr>
          </w:p>
          <w:p>
            <w:pPr>
              <w:jc w:val="center"/>
              <w:rPr>
                <w:color w:val="FF0000"/>
                <w:sz w:val="16"/>
              </w:rPr>
            </w:pPr>
            <w:r>
              <w:rPr>
                <w:sz w:val="16"/>
              </w:rPr>
              <w:t>XII 2011</w:t>
            </w:r>
          </w:p>
        </w:tc>
        <w:tc>
          <w:tcPr>
            <w:tcW w:w="1474" w:type="dxa"/>
            <w:tcBorders>
              <w:top w:val="single" w:sz="4" w:space="0" w:shadow="0" w:frame="0"/>
              <w:left w:val="single" w:sz="4" w:space="0" w:shadow="0" w:frame="0"/>
              <w:bottom w:val="single" w:sz="4" w:space="0" w:shadow="0" w:frame="0"/>
            </w:tcBorders>
            <w:vAlign w:val="center"/>
          </w:tcPr>
          <w:p>
            <w:pPr>
              <w:jc w:val="center"/>
              <w:rPr>
                <w:color w:val="FF0000"/>
                <w:sz w:val="16"/>
              </w:rPr>
            </w:pPr>
          </w:p>
          <w:p>
            <w:pPr>
              <w:jc w:val="center"/>
              <w:rPr>
                <w:sz w:val="16"/>
              </w:rPr>
            </w:pPr>
            <w:r>
              <w:rPr>
                <w:sz w:val="16"/>
              </w:rPr>
              <w:t>XII 2012</w:t>
            </w:r>
          </w:p>
          <w:p>
            <w:pPr>
              <w:jc w:val="center"/>
              <w:rPr>
                <w:sz w:val="16"/>
              </w:rPr>
            </w:pPr>
          </w:p>
          <w:p>
            <w:pPr>
              <w:jc w:val="center"/>
              <w:rPr>
                <w:color w:val="FF0000"/>
                <w:sz w:val="16"/>
              </w:rPr>
            </w:pPr>
            <w:r>
              <w:rPr>
                <w:rFonts w:ascii="Symbol" w:hAnsi="Symbol"/>
                <w:sz w:val="16"/>
              </w:rPr>
              <w:t>Æ</w:t>
            </w:r>
            <w:r>
              <w:rPr>
                <w:sz w:val="16"/>
              </w:rPr>
              <w:t xml:space="preserve"> 2011</w:t>
            </w:r>
          </w:p>
        </w:tc>
      </w:tr>
      <w:tr>
        <w:trPr>
          <w:wAfter w:w="0" w:type="dxa"/>
        </w:trPr>
        <w:tc>
          <w:tcPr>
            <w:tcW w:w="3686" w:type="dxa"/>
            <w:tcBorders>
              <w:top w:val="single" w:sz="4" w:space="0" w:shadow="0" w:frame="0"/>
              <w:right w:val="single" w:sz="4" w:space="0" w:shadow="0" w:frame="0"/>
            </w:tcBorders>
          </w:tcPr>
          <w:p>
            <w:pPr>
              <w:pStyle w:val="P41"/>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r>
      <w:tr>
        <w:trPr>
          <w:wAfter w:w="0" w:type="dxa"/>
        </w:trPr>
        <w:tc>
          <w:tcPr>
            <w:tcW w:w="3686"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27"/>
              <w:jc w:val="right"/>
              <w:rPr>
                <w:sz w:val="16"/>
              </w:rPr>
            </w:pPr>
            <w:r>
              <w:rPr>
                <w:sz w:val="16"/>
              </w:rPr>
              <w:t>100.7</w:t>
            </w:r>
          </w:p>
        </w:tc>
        <w:tc>
          <w:tcPr>
            <w:tcW w:w="1474" w:type="dxa"/>
            <w:vAlign w:val="bottom"/>
          </w:tcPr>
          <w:p>
            <w:pPr>
              <w:ind w:right="227"/>
              <w:jc w:val="right"/>
              <w:rPr>
                <w:sz w:val="16"/>
              </w:rPr>
            </w:pPr>
            <w:r>
              <w:rPr>
                <w:sz w:val="16"/>
              </w:rPr>
              <w:t>79.1</w:t>
            </w:r>
          </w:p>
        </w:tc>
        <w:tc>
          <w:tcPr>
            <w:tcW w:w="1474" w:type="dxa"/>
            <w:vAlign w:val="bottom"/>
          </w:tcPr>
          <w:p>
            <w:pPr>
              <w:ind w:right="227"/>
              <w:jc w:val="right"/>
              <w:rPr>
                <w:sz w:val="16"/>
              </w:rPr>
            </w:pPr>
            <w:r>
              <w:rPr>
                <w:sz w:val="16"/>
              </w:rPr>
              <w:t>78.8</w:t>
            </w:r>
          </w:p>
        </w:tc>
        <w:tc>
          <w:tcPr>
            <w:tcW w:w="1474" w:type="dxa"/>
            <w:vAlign w:val="bottom"/>
          </w:tcPr>
          <w:p>
            <w:pPr>
              <w:ind w:right="227"/>
              <w:jc w:val="right"/>
              <w:rPr>
                <w:sz w:val="16"/>
              </w:rPr>
            </w:pPr>
            <w:r>
              <w:rPr>
                <w:sz w:val="16"/>
              </w:rPr>
              <w:t>82.2</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27"/>
              <w:jc w:val="right"/>
              <w:rPr>
                <w:sz w:val="16"/>
              </w:rPr>
            </w:pPr>
            <w:r>
              <w:rPr>
                <w:sz w:val="16"/>
              </w:rPr>
              <w:t>141.7</w:t>
            </w:r>
          </w:p>
        </w:tc>
        <w:tc>
          <w:tcPr>
            <w:tcW w:w="1474" w:type="dxa"/>
            <w:vAlign w:val="bottom"/>
          </w:tcPr>
          <w:p>
            <w:pPr>
              <w:ind w:right="227"/>
              <w:jc w:val="right"/>
              <w:rPr>
                <w:sz w:val="16"/>
              </w:rPr>
            </w:pPr>
            <w:r>
              <w:rPr>
                <w:sz w:val="16"/>
              </w:rPr>
              <w:t>231</w:t>
            </w:r>
          </w:p>
        </w:tc>
        <w:tc>
          <w:tcPr>
            <w:tcW w:w="1474" w:type="dxa"/>
            <w:vAlign w:val="bottom"/>
          </w:tcPr>
          <w:p>
            <w:pPr>
              <w:ind w:right="227"/>
              <w:jc w:val="right"/>
              <w:rPr>
                <w:sz w:val="16"/>
              </w:rPr>
            </w:pPr>
            <w:r>
              <w:rPr>
                <w:sz w:val="16"/>
              </w:rPr>
              <w:t>196.4</w:t>
            </w:r>
          </w:p>
        </w:tc>
        <w:tc>
          <w:tcPr>
            <w:tcW w:w="1474" w:type="dxa"/>
            <w:vAlign w:val="bottom"/>
          </w:tcPr>
          <w:p>
            <w:pPr>
              <w:ind w:right="227"/>
              <w:jc w:val="right"/>
              <w:rPr>
                <w:sz w:val="16"/>
              </w:rPr>
            </w:pPr>
            <w:r>
              <w:rPr>
                <w:sz w:val="16"/>
              </w:rPr>
              <w:t>207.3</w:t>
            </w:r>
          </w:p>
        </w:tc>
      </w:tr>
      <w:tr>
        <w:trPr>
          <w:wAfter w:w="0" w:type="dxa"/>
        </w:trPr>
        <w:tc>
          <w:tcPr>
            <w:tcW w:w="3686" w:type="dxa"/>
            <w:tcBorders>
              <w:right w:val="single" w:sz="4" w:space="0" w:shadow="0" w:frame="0"/>
            </w:tcBorders>
          </w:tcPr>
          <w:p>
            <w:pPr>
              <w:spacing w:before="20" w:after="20"/>
              <w:rPr>
                <w:sz w:val="16"/>
              </w:rPr>
            </w:pPr>
            <w:r>
              <w:rPr>
                <w:sz w:val="16"/>
              </w:rPr>
              <w:t>Buildings</w:t>
            </w:r>
          </w:p>
        </w:tc>
        <w:tc>
          <w:tcPr>
            <w:tcW w:w="1474" w:type="dxa"/>
            <w:vAlign w:val="bottom"/>
          </w:tcPr>
          <w:p>
            <w:pPr>
              <w:ind w:right="227"/>
              <w:jc w:val="right"/>
              <w:rPr>
                <w:sz w:val="16"/>
              </w:rPr>
            </w:pPr>
          </w:p>
        </w:tc>
        <w:tc>
          <w:tcPr>
            <w:tcW w:w="1474" w:type="dxa"/>
            <w:vAlign w:val="bottom"/>
          </w:tcPr>
          <w:p>
            <w:pPr>
              <w:ind w:right="227"/>
              <w:jc w:val="right"/>
              <w:rPr>
                <w:sz w:val="16"/>
              </w:rPr>
            </w:pPr>
          </w:p>
        </w:tc>
        <w:tc>
          <w:tcPr>
            <w:tcW w:w="1474" w:type="dxa"/>
            <w:vAlign w:val="bottom"/>
          </w:tcPr>
          <w:p>
            <w:pPr>
              <w:ind w:right="227"/>
              <w:jc w:val="right"/>
              <w:rPr>
                <w:sz w:val="16"/>
              </w:rPr>
            </w:pPr>
          </w:p>
        </w:tc>
        <w:tc>
          <w:tcPr>
            <w:tcW w:w="1474" w:type="dxa"/>
            <w:vAlign w:val="bottom"/>
          </w:tcPr>
          <w:p>
            <w:pPr>
              <w:ind w:right="227"/>
              <w:jc w:val="right"/>
              <w:rPr>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27"/>
              <w:jc w:val="right"/>
              <w:rPr>
                <w:sz w:val="16"/>
              </w:rPr>
            </w:pPr>
            <w:r>
              <w:rPr>
                <w:sz w:val="16"/>
              </w:rPr>
              <w:t>101.5</w:t>
            </w:r>
          </w:p>
        </w:tc>
        <w:tc>
          <w:tcPr>
            <w:tcW w:w="1474" w:type="dxa"/>
            <w:vAlign w:val="bottom"/>
          </w:tcPr>
          <w:p>
            <w:pPr>
              <w:ind w:right="227"/>
              <w:jc w:val="right"/>
              <w:rPr>
                <w:sz w:val="16"/>
              </w:rPr>
            </w:pPr>
            <w:r>
              <w:rPr>
                <w:sz w:val="16"/>
              </w:rPr>
              <w:t>73.5</w:t>
            </w:r>
          </w:p>
        </w:tc>
        <w:tc>
          <w:tcPr>
            <w:tcW w:w="1474" w:type="dxa"/>
            <w:vAlign w:val="bottom"/>
          </w:tcPr>
          <w:p>
            <w:pPr>
              <w:ind w:right="227"/>
              <w:jc w:val="right"/>
              <w:rPr>
                <w:sz w:val="16"/>
              </w:rPr>
            </w:pPr>
            <w:r>
              <w:rPr>
                <w:sz w:val="16"/>
              </w:rPr>
              <w:t>82.9</w:t>
            </w:r>
          </w:p>
        </w:tc>
        <w:tc>
          <w:tcPr>
            <w:tcW w:w="1474" w:type="dxa"/>
            <w:vAlign w:val="bottom"/>
          </w:tcPr>
          <w:p>
            <w:pPr>
              <w:ind w:right="227"/>
              <w:jc w:val="right"/>
              <w:rPr>
                <w:sz w:val="16"/>
              </w:rPr>
            </w:pPr>
            <w:r>
              <w:rPr>
                <w:sz w:val="16"/>
              </w:rPr>
              <w:t>80.3</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27"/>
              <w:jc w:val="right"/>
              <w:rPr>
                <w:sz w:val="16"/>
              </w:rPr>
            </w:pPr>
            <w:r>
              <w:rPr>
                <w:sz w:val="16"/>
              </w:rPr>
              <w:t>115.1</w:t>
            </w:r>
          </w:p>
        </w:tc>
        <w:tc>
          <w:tcPr>
            <w:tcW w:w="1474" w:type="dxa"/>
            <w:vAlign w:val="bottom"/>
          </w:tcPr>
          <w:p>
            <w:pPr>
              <w:ind w:right="227"/>
              <w:jc w:val="right"/>
              <w:rPr>
                <w:sz w:val="16"/>
              </w:rPr>
            </w:pPr>
            <w:r>
              <w:rPr>
                <w:sz w:val="16"/>
              </w:rPr>
              <w:t>61.3</w:t>
            </w:r>
          </w:p>
        </w:tc>
        <w:tc>
          <w:tcPr>
            <w:tcW w:w="1474" w:type="dxa"/>
            <w:vAlign w:val="bottom"/>
          </w:tcPr>
          <w:p>
            <w:pPr>
              <w:ind w:right="227"/>
              <w:jc w:val="right"/>
              <w:rPr>
                <w:sz w:val="16"/>
              </w:rPr>
            </w:pPr>
            <w:r>
              <w:rPr>
                <w:sz w:val="16"/>
              </w:rPr>
              <w:t>67.4</w:t>
            </w:r>
          </w:p>
        </w:tc>
        <w:tc>
          <w:tcPr>
            <w:tcW w:w="1474" w:type="dxa"/>
            <w:vAlign w:val="bottom"/>
          </w:tcPr>
          <w:p>
            <w:pPr>
              <w:ind w:right="227"/>
              <w:jc w:val="right"/>
              <w:rPr>
                <w:sz w:val="16"/>
              </w:rPr>
            </w:pPr>
            <w:r>
              <w:rPr>
                <w:sz w:val="16"/>
              </w:rPr>
              <w:t>54.6</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227"/>
              <w:jc w:val="right"/>
              <w:rPr>
                <w:sz w:val="16"/>
              </w:rPr>
            </w:pPr>
            <w:r>
              <w:rPr>
                <w:sz w:val="16"/>
              </w:rPr>
              <w:t>97.8</w:t>
            </w:r>
          </w:p>
        </w:tc>
        <w:tc>
          <w:tcPr>
            <w:tcW w:w="1474" w:type="dxa"/>
            <w:vAlign w:val="bottom"/>
          </w:tcPr>
          <w:p>
            <w:pPr>
              <w:ind w:right="227"/>
              <w:jc w:val="right"/>
              <w:rPr>
                <w:sz w:val="16"/>
              </w:rPr>
            </w:pPr>
            <w:r>
              <w:rPr>
                <w:sz w:val="16"/>
              </w:rPr>
              <w:t>63.6</w:t>
            </w:r>
          </w:p>
        </w:tc>
        <w:tc>
          <w:tcPr>
            <w:tcW w:w="1474" w:type="dxa"/>
            <w:vAlign w:val="bottom"/>
          </w:tcPr>
          <w:p>
            <w:pPr>
              <w:ind w:right="227"/>
              <w:jc w:val="right"/>
              <w:rPr>
                <w:sz w:val="16"/>
              </w:rPr>
            </w:pPr>
            <w:r>
              <w:rPr>
                <w:sz w:val="16"/>
              </w:rPr>
              <w:t>63.2</w:t>
            </w:r>
          </w:p>
        </w:tc>
        <w:tc>
          <w:tcPr>
            <w:tcW w:w="1474" w:type="dxa"/>
            <w:vAlign w:val="bottom"/>
          </w:tcPr>
          <w:p>
            <w:pPr>
              <w:ind w:right="227"/>
              <w:jc w:val="right"/>
              <w:rPr>
                <w:sz w:val="16"/>
              </w:rPr>
            </w:pPr>
            <w:r>
              <w:rPr>
                <w:sz w:val="16"/>
              </w:rPr>
              <w:t>57.3</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227"/>
              <w:jc w:val="right"/>
              <w:rPr>
                <w:sz w:val="16"/>
              </w:rPr>
            </w:pPr>
            <w:r>
              <w:rPr>
                <w:sz w:val="16"/>
              </w:rPr>
              <w:t>99.1</w:t>
            </w:r>
          </w:p>
        </w:tc>
        <w:tc>
          <w:tcPr>
            <w:tcW w:w="1474" w:type="dxa"/>
            <w:vAlign w:val="bottom"/>
          </w:tcPr>
          <w:p>
            <w:pPr>
              <w:ind w:right="227"/>
              <w:jc w:val="right"/>
              <w:rPr>
                <w:sz w:val="16"/>
              </w:rPr>
            </w:pPr>
            <w:r>
              <w:rPr>
                <w:sz w:val="16"/>
              </w:rPr>
              <w:t>58.6</w:t>
            </w:r>
          </w:p>
        </w:tc>
        <w:tc>
          <w:tcPr>
            <w:tcW w:w="1474" w:type="dxa"/>
            <w:vAlign w:val="bottom"/>
          </w:tcPr>
          <w:p>
            <w:pPr>
              <w:ind w:right="227"/>
              <w:jc w:val="right"/>
              <w:rPr>
                <w:sz w:val="16"/>
              </w:rPr>
            </w:pPr>
            <w:r>
              <w:rPr>
                <w:sz w:val="16"/>
              </w:rPr>
              <w:t>64.7</w:t>
            </w:r>
          </w:p>
        </w:tc>
        <w:tc>
          <w:tcPr>
            <w:tcW w:w="1474" w:type="dxa"/>
            <w:vAlign w:val="bottom"/>
          </w:tcPr>
          <w:p>
            <w:pPr>
              <w:ind w:right="227"/>
              <w:jc w:val="right"/>
              <w:rPr>
                <w:sz w:val="16"/>
              </w:rPr>
            </w:pPr>
            <w:r>
              <w:rPr>
                <w:sz w:val="16"/>
              </w:rPr>
              <w:t>57.2</w:t>
            </w:r>
          </w:p>
        </w:tc>
      </w:tr>
      <w:tr>
        <w:trPr>
          <w:wAfter w:w="0" w:type="dxa"/>
        </w:trPr>
        <w:tc>
          <w:tcPr>
            <w:tcW w:w="3686" w:type="dxa"/>
            <w:tcBorders>
              <w:right w:val="single" w:sz="4" w:space="0" w:shadow="0" w:frame="0"/>
            </w:tcBorders>
          </w:tcPr>
          <w:p>
            <w:pPr>
              <w:spacing w:before="20" w:after="20"/>
              <w:rPr>
                <w:sz w:val="16"/>
              </w:rPr>
            </w:pPr>
            <w:r>
              <w:rPr>
                <w:sz w:val="16"/>
              </w:rPr>
              <w:t>Civil engineering</w:t>
            </w:r>
          </w:p>
        </w:tc>
        <w:tc>
          <w:tcPr>
            <w:tcW w:w="1474" w:type="dxa"/>
            <w:vAlign w:val="bottom"/>
          </w:tcPr>
          <w:p>
            <w:pPr>
              <w:ind w:right="227"/>
              <w:jc w:val="right"/>
              <w:rPr>
                <w:sz w:val="16"/>
              </w:rPr>
            </w:pPr>
          </w:p>
        </w:tc>
        <w:tc>
          <w:tcPr>
            <w:tcW w:w="1474" w:type="dxa"/>
            <w:vAlign w:val="bottom"/>
          </w:tcPr>
          <w:p>
            <w:pPr>
              <w:ind w:right="227"/>
              <w:jc w:val="right"/>
              <w:rPr>
                <w:sz w:val="16"/>
              </w:rPr>
            </w:pPr>
          </w:p>
        </w:tc>
        <w:tc>
          <w:tcPr>
            <w:tcW w:w="1474" w:type="dxa"/>
            <w:vAlign w:val="bottom"/>
          </w:tcPr>
          <w:p>
            <w:pPr>
              <w:ind w:right="227"/>
              <w:jc w:val="right"/>
              <w:rPr>
                <w:sz w:val="16"/>
              </w:rPr>
            </w:pPr>
          </w:p>
        </w:tc>
        <w:tc>
          <w:tcPr>
            <w:tcW w:w="1474" w:type="dxa"/>
            <w:vAlign w:val="bottom"/>
          </w:tcPr>
          <w:p>
            <w:pPr>
              <w:ind w:right="227"/>
              <w:jc w:val="right"/>
              <w:rPr>
                <w:sz w:val="16"/>
              </w:rPr>
            </w:pPr>
          </w:p>
        </w:tc>
      </w:tr>
      <w:tr>
        <w:trPr>
          <w:wAfter w:w="0" w:type="dxa"/>
          <w:trHeight w:hRule="atLeast" w:val="196"/>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27"/>
              <w:jc w:val="right"/>
              <w:rPr>
                <w:sz w:val="16"/>
              </w:rPr>
            </w:pPr>
            <w:r>
              <w:rPr>
                <w:sz w:val="16"/>
              </w:rPr>
              <w:t>98.2</w:t>
            </w:r>
          </w:p>
        </w:tc>
        <w:tc>
          <w:tcPr>
            <w:tcW w:w="1474" w:type="dxa"/>
            <w:vAlign w:val="bottom"/>
          </w:tcPr>
          <w:p>
            <w:pPr>
              <w:ind w:right="227"/>
              <w:jc w:val="right"/>
              <w:rPr>
                <w:sz w:val="16"/>
              </w:rPr>
            </w:pPr>
            <w:r>
              <w:rPr>
                <w:sz w:val="16"/>
              </w:rPr>
              <w:t>101.6</w:t>
            </w:r>
          </w:p>
        </w:tc>
        <w:tc>
          <w:tcPr>
            <w:tcW w:w="1474" w:type="dxa"/>
            <w:vAlign w:val="bottom"/>
          </w:tcPr>
          <w:p>
            <w:pPr>
              <w:ind w:right="227"/>
              <w:jc w:val="right"/>
              <w:rPr>
                <w:sz w:val="16"/>
              </w:rPr>
            </w:pPr>
            <w:r>
              <w:rPr>
                <w:sz w:val="16"/>
              </w:rPr>
              <w:t>68.8</w:t>
            </w:r>
          </w:p>
        </w:tc>
        <w:tc>
          <w:tcPr>
            <w:tcW w:w="1474" w:type="dxa"/>
            <w:vAlign w:val="bottom"/>
          </w:tcPr>
          <w:p>
            <w:pPr>
              <w:ind w:right="227"/>
              <w:jc w:val="right"/>
              <w:rPr>
                <w:sz w:val="16"/>
              </w:rPr>
            </w:pPr>
            <w:r>
              <w:rPr>
                <w:sz w:val="16"/>
              </w:rPr>
              <w:t>88.4</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27"/>
              <w:jc w:val="right"/>
              <w:rPr>
                <w:sz w:val="16"/>
              </w:rPr>
            </w:pPr>
            <w:r>
              <w:rPr>
                <w:sz w:val="16"/>
              </w:rPr>
              <w:t>194</w:t>
            </w:r>
          </w:p>
        </w:tc>
        <w:tc>
          <w:tcPr>
            <w:tcW w:w="1474" w:type="dxa"/>
            <w:vAlign w:val="bottom"/>
          </w:tcPr>
          <w:p>
            <w:pPr>
              <w:ind w:right="227"/>
              <w:jc w:val="right"/>
              <w:rPr>
                <w:sz w:val="16"/>
              </w:rPr>
            </w:pPr>
            <w:r>
              <w:rPr>
                <w:sz w:val="16"/>
              </w:rPr>
              <w:t>557.4</w:t>
            </w:r>
          </w:p>
        </w:tc>
        <w:tc>
          <w:tcPr>
            <w:tcW w:w="1474" w:type="dxa"/>
            <w:vAlign w:val="bottom"/>
          </w:tcPr>
          <w:p>
            <w:pPr>
              <w:ind w:right="227"/>
              <w:jc w:val="right"/>
              <w:rPr>
                <w:sz w:val="16"/>
              </w:rPr>
            </w:pPr>
            <w:r>
              <w:rPr>
                <w:sz w:val="16"/>
              </w:rPr>
              <w:t>330.2</w:t>
            </w:r>
          </w:p>
        </w:tc>
        <w:tc>
          <w:tcPr>
            <w:tcW w:w="1474" w:type="dxa"/>
            <w:vAlign w:val="bottom"/>
          </w:tcPr>
          <w:p>
            <w:pPr>
              <w:ind w:right="227"/>
              <w:jc w:val="right"/>
              <w:rPr>
                <w:sz w:val="16"/>
              </w:rPr>
            </w:pPr>
            <w:r>
              <w:rPr>
                <w:sz w:val="16"/>
              </w:rPr>
              <w:t>508.7</w:t>
            </w:r>
          </w:p>
        </w:tc>
      </w:tr>
      <w:tr>
        <w:trPr>
          <w:wAfter w:w="0" w:type="dxa"/>
        </w:trPr>
        <w:tc>
          <w:tcPr>
            <w:tcW w:w="3686" w:type="dxa"/>
            <w:tcBorders>
              <w:right w:val="single" w:sz="4" w:space="0" w:shadow="0" w:frame="0"/>
            </w:tcBorders>
          </w:tcPr>
          <w:p>
            <w:pPr>
              <w:spacing w:before="20" w:after="20"/>
              <w:rPr>
                <w:sz w:val="16"/>
              </w:rPr>
            </w:pPr>
            <w:r>
              <w:rPr>
                <w:sz w:val="16"/>
              </w:rPr>
              <w:t>Dwellings</w:t>
            </w:r>
          </w:p>
        </w:tc>
        <w:tc>
          <w:tcPr>
            <w:tcW w:w="1474" w:type="dxa"/>
            <w:vAlign w:val="bottom"/>
          </w:tcPr>
          <w:p>
            <w:pPr>
              <w:ind w:right="227"/>
              <w:jc w:val="right"/>
              <w:rPr>
                <w:sz w:val="16"/>
              </w:rPr>
            </w:pPr>
          </w:p>
        </w:tc>
        <w:tc>
          <w:tcPr>
            <w:tcW w:w="1474" w:type="dxa"/>
            <w:vAlign w:val="bottom"/>
          </w:tcPr>
          <w:p>
            <w:pPr>
              <w:ind w:right="227"/>
              <w:jc w:val="right"/>
              <w:rPr>
                <w:sz w:val="16"/>
              </w:rPr>
            </w:pPr>
          </w:p>
        </w:tc>
        <w:tc>
          <w:tcPr>
            <w:tcW w:w="1474" w:type="dxa"/>
            <w:vAlign w:val="bottom"/>
          </w:tcPr>
          <w:p>
            <w:pPr>
              <w:ind w:right="227"/>
              <w:jc w:val="right"/>
              <w:rPr>
                <w:sz w:val="16"/>
              </w:rPr>
            </w:pPr>
          </w:p>
        </w:tc>
        <w:tc>
          <w:tcPr>
            <w:tcW w:w="1474" w:type="dxa"/>
            <w:vAlign w:val="bottom"/>
          </w:tcPr>
          <w:p>
            <w:pPr>
              <w:ind w:right="227"/>
              <w:jc w:val="right"/>
              <w:rPr>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27"/>
              <w:jc w:val="right"/>
              <w:rPr>
                <w:sz w:val="16"/>
              </w:rPr>
            </w:pPr>
            <w:r>
              <w:rPr>
                <w:sz w:val="16"/>
              </w:rPr>
              <w:t>91.3</w:t>
            </w:r>
          </w:p>
        </w:tc>
        <w:tc>
          <w:tcPr>
            <w:tcW w:w="1474" w:type="dxa"/>
            <w:vAlign w:val="bottom"/>
          </w:tcPr>
          <w:p>
            <w:pPr>
              <w:ind w:right="227"/>
              <w:jc w:val="right"/>
              <w:rPr>
                <w:sz w:val="16"/>
              </w:rPr>
            </w:pPr>
            <w:r>
              <w:rPr>
                <w:sz w:val="16"/>
              </w:rPr>
              <w:t>38.7</w:t>
            </w:r>
          </w:p>
        </w:tc>
        <w:tc>
          <w:tcPr>
            <w:tcW w:w="1474" w:type="dxa"/>
            <w:vAlign w:val="bottom"/>
          </w:tcPr>
          <w:p>
            <w:pPr>
              <w:ind w:right="227"/>
              <w:jc w:val="right"/>
              <w:rPr>
                <w:sz w:val="16"/>
              </w:rPr>
            </w:pPr>
            <w:r>
              <w:rPr>
                <w:sz w:val="16"/>
              </w:rPr>
              <w:t>58.8</w:t>
            </w:r>
          </w:p>
        </w:tc>
        <w:tc>
          <w:tcPr>
            <w:tcW w:w="1474" w:type="dxa"/>
            <w:vAlign w:val="bottom"/>
          </w:tcPr>
          <w:p>
            <w:pPr>
              <w:ind w:right="227"/>
              <w:jc w:val="right"/>
              <w:rPr>
                <w:sz w:val="16"/>
              </w:rPr>
            </w:pPr>
            <w:r>
              <w:rPr>
                <w:sz w:val="16"/>
              </w:rPr>
              <w:t>47.8</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227"/>
              <w:jc w:val="right"/>
              <w:rPr>
                <w:sz w:val="16"/>
              </w:rPr>
            </w:pPr>
            <w:r>
              <w:rPr>
                <w:sz w:val="16"/>
              </w:rPr>
              <w:t>96.9</w:t>
            </w:r>
          </w:p>
        </w:tc>
        <w:tc>
          <w:tcPr>
            <w:tcW w:w="1474" w:type="dxa"/>
            <w:vAlign w:val="bottom"/>
          </w:tcPr>
          <w:p>
            <w:pPr>
              <w:ind w:right="227"/>
              <w:jc w:val="right"/>
              <w:rPr>
                <w:sz w:val="16"/>
              </w:rPr>
            </w:pPr>
            <w:r>
              <w:rPr>
                <w:sz w:val="16"/>
              </w:rPr>
              <w:t>47.1</w:t>
            </w:r>
          </w:p>
        </w:tc>
        <w:tc>
          <w:tcPr>
            <w:tcW w:w="1474" w:type="dxa"/>
            <w:vAlign w:val="bottom"/>
          </w:tcPr>
          <w:p>
            <w:pPr>
              <w:ind w:right="227"/>
              <w:jc w:val="right"/>
              <w:rPr>
                <w:sz w:val="16"/>
              </w:rPr>
            </w:pPr>
            <w:r>
              <w:rPr>
                <w:sz w:val="16"/>
              </w:rPr>
              <w:t>64.3</w:t>
            </w:r>
          </w:p>
        </w:tc>
        <w:tc>
          <w:tcPr>
            <w:tcW w:w="1474" w:type="dxa"/>
            <w:vAlign w:val="bottom"/>
          </w:tcPr>
          <w:p>
            <w:pPr>
              <w:ind w:right="227"/>
              <w:jc w:val="right"/>
              <w:rPr>
                <w:sz w:val="16"/>
              </w:rPr>
            </w:pPr>
            <w:r>
              <w:rPr>
                <w:sz w:val="16"/>
              </w:rPr>
              <w:t>51.3</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Notes:</w:t>
      </w:r>
    </w:p>
    <w:p>
      <w:pPr>
        <w:jc w:val="both"/>
      </w:pPr>
    </w:p>
    <w:p>
      <w:pPr>
        <w:spacing w:lineRule="auto" w:line="252"/>
        <w:ind w:firstLine="397"/>
        <w:jc w:val="both"/>
        <w:rPr>
          <w:sz w:val="18"/>
        </w:rPr>
      </w:pPr>
      <w:r>
        <w:rPr>
          <w:sz w:val="18"/>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Gazette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permits“ unites three documents issued by the competent authority: building permit for construction, request for starting works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spacing w:lineRule="auto" w:line="252"/>
        <w:ind w:firstLine="397"/>
        <w:jc w:val="both"/>
        <w:rPr>
          <w:b w:val="0"/>
          <w:sz w:val="18"/>
        </w:rPr>
      </w:pPr>
      <w:r>
        <w:rPr>
          <w:sz w:val="18"/>
        </w:rPr>
        <w:t>A</w:t>
      </w:r>
      <w:r>
        <w:rPr>
          <w:b w:val="1"/>
          <w:sz w:val="18"/>
        </w:rPr>
        <w:t xml:space="preserve"> construction </w:t>
      </w:r>
      <w:r>
        <w:rPr>
          <w:sz w:val="18"/>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agriculture-related activities and are not included in construction works.    </w:t>
      </w:r>
      <w:r>
        <w:rPr>
          <w:b w:val="1"/>
          <w:sz w:val="18"/>
        </w:rPr>
        <w:t xml:space="preserve">  </w:t>
      </w:r>
    </w:p>
    <w:p>
      <w:pPr>
        <w:spacing w:lineRule="auto" w:line="252"/>
        <w:ind w:firstLine="397"/>
        <w:jc w:val="both"/>
        <w:rPr>
          <w:sz w:val="18"/>
        </w:rPr>
      </w:pPr>
      <w:r>
        <w:rPr>
          <w:b w:val="1"/>
          <w:sz w:val="18"/>
        </w:rPr>
        <w:t xml:space="preserve">Buildings </w:t>
      </w:r>
      <w:r>
        <w:rPr>
          <w:sz w:val="18"/>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lineRule="auto" w:line="252"/>
        <w:ind w:firstLine="397"/>
        <w:jc w:val="both"/>
        <w:rPr>
          <w:b w:val="0"/>
          <w:sz w:val="18"/>
        </w:rPr>
      </w:pPr>
      <w:r>
        <w:rPr>
          <w:sz w:val="18"/>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lineRule="auto" w:line="252"/>
        <w:ind w:firstLine="397"/>
        <w:jc w:val="both"/>
        <w:rPr>
          <w:b w:val="0"/>
          <w:sz w:val="18"/>
        </w:rPr>
      </w:pPr>
      <w:r>
        <w:rPr>
          <w:b w:val="1"/>
          <w:sz w:val="18"/>
        </w:rPr>
        <w:t xml:space="preserve">Other civil engineering constructions </w:t>
      </w:r>
      <w:r>
        <w:rPr>
          <w:sz w:val="18"/>
        </w:rPr>
        <w:t xml:space="preserve">relate to all constructions that are not buildings: railways, roads, bridges, highways, airport runways, pools, etc. </w:t>
      </w:r>
      <w:r>
        <w:rPr>
          <w:b w:val="1"/>
          <w:sz w:val="18"/>
        </w:rPr>
        <w:t xml:space="preserve"> </w:t>
      </w:r>
    </w:p>
    <w:p>
      <w:pPr>
        <w:pStyle w:val="P21"/>
        <w:spacing w:lineRule="auto" w:line="252"/>
        <w:ind w:firstLine="397"/>
        <w:rPr>
          <w:b w:val="0"/>
          <w:sz w:val="18"/>
        </w:rPr>
      </w:pPr>
      <w:r>
        <w:rPr>
          <w:b w:val="1"/>
          <w:sz w:val="18"/>
        </w:rPr>
        <w:t>Gross building area (m</w:t>
      </w:r>
      <w:r>
        <w:rPr>
          <w:b w:val="1"/>
          <w:sz w:val="18"/>
          <w:vertAlign w:val="superscript"/>
        </w:rPr>
        <w:t>2</w:t>
      </w:r>
      <w:r>
        <w:rPr>
          <w:b w:val="1"/>
          <w:sz w:val="18"/>
        </w:rPr>
        <w:t xml:space="preserve">) </w:t>
      </w:r>
      <w:r>
        <w:rPr>
          <w:sz w:val="18"/>
        </w:rPr>
        <w:t>presents the sum of all floor areas in the building that are comprised by outer walls, also including the thickness of outer walls.</w:t>
      </w:r>
    </w:p>
    <w:p>
      <w:pPr>
        <w:spacing w:lineRule="auto" w:line="252"/>
        <w:ind w:firstLine="397"/>
        <w:jc w:val="both"/>
        <w:rPr>
          <w:sz w:val="18"/>
        </w:rPr>
      </w:pPr>
      <w:r>
        <w:rPr>
          <w:b w:val="1"/>
          <w:sz w:val="18"/>
        </w:rPr>
        <w:t xml:space="preserve">Useful dwelling area </w:t>
      </w:r>
      <w:r>
        <w:rPr>
          <w:sz w:val="18"/>
        </w:rPr>
        <w:t xml:space="preserve">is the floor area, measured inside the outer walls of the dwelling and presents the sum of all floor areas, rooms, kitchen, bathroom, toilet and other auxiliary spaces in the dwelling. </w:t>
      </w:r>
    </w:p>
    <w:p>
      <w:pPr>
        <w:spacing w:lineRule="auto" w:line="252"/>
        <w:ind w:firstLine="397"/>
        <w:jc w:val="both"/>
        <w:rPr>
          <w:sz w:val="18"/>
        </w:rPr>
      </w:pPr>
      <w:r>
        <w:rPr>
          <w:b w:val="1"/>
          <w:sz w:val="18"/>
        </w:rPr>
        <w:t xml:space="preserve">Anticipated value of works </w:t>
      </w:r>
      <w:r>
        <w:rPr>
          <w:sz w:val="18"/>
        </w:rPr>
        <w:t xml:space="preserve">presents the planed value of works on a construction. </w:t>
      </w:r>
    </w:p>
    <w:p>
      <w:pPr>
        <w:spacing w:lineRule="auto" w:line="252"/>
        <w:ind w:firstLine="397"/>
        <w:jc w:val="both"/>
        <w:rPr>
          <w:sz w:val="18"/>
        </w:rPr>
      </w:pPr>
      <w:r>
        <w:rPr>
          <w:sz w:val="18"/>
        </w:rPr>
        <w:t xml:space="preserve">Detailed methodological notes of this survey can be found in the edition of SORS Methodologies and standards: Monthly surveys on building permits, book 22 and Classification of types of constructions, book number 15. </w:t>
      </w:r>
    </w:p>
    <w:p>
      <w:pPr>
        <w:ind w:firstLine="397"/>
        <w:jc w:val="both"/>
        <w:rPr>
          <w:b w:val="0"/>
          <w:i w:val="1"/>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r>
        <w:rPr>
          <w:b w:val="1"/>
          <w:i w:val="1"/>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Phon</w:t>
            </w:r>
            <w:r>
              <w:rPr>
                <w:i w:val="1"/>
                <w:sz w:val="18"/>
              </w:rPr>
              <w:t xml:space="preserve">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0</w:t>
          </w:r>
          <w:r>
            <w:rPr>
              <w:b w:val="1"/>
              <w:sz w:val="16"/>
            </w:rPr>
            <w:t>29</w:t>
          </w:r>
          <w:r>
            <w:rPr>
              <w:b w:val="1"/>
              <w:sz w:val="16"/>
            </w:rPr>
            <w:t xml:space="preserve"> </w:t>
          </w:r>
          <w:r>
            <w:rPr>
              <w:b w:val="1"/>
              <w:sz w:val="16"/>
            </w:rPr>
            <w:t xml:space="preserve">GR30 </w:t>
          </w:r>
          <w:r>
            <w:rPr>
              <w:b w:val="1"/>
              <w:sz w:val="16"/>
            </w:rPr>
            <w:t>1</w:t>
          </w:r>
          <w:r>
            <w:rPr>
              <w:b w:val="1"/>
              <w:sz w:val="16"/>
            </w:rPr>
            <w:t>4</w:t>
          </w:r>
          <w:r>
            <w:rPr>
              <w:b w:val="1"/>
              <w:sz w:val="16"/>
            </w:rPr>
            <w:t>0</w:t>
          </w:r>
          <w:r>
            <w:rPr>
              <w:b w:val="1"/>
              <w:sz w:val="16"/>
            </w:rPr>
            <w:t>2</w:t>
          </w:r>
          <w:r>
            <w:rPr>
              <w:b w:val="1"/>
              <w:sz w:val="16"/>
            </w:rPr>
            <w:t>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26F639C">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45F861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285B68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00F4EF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4C6CA2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48653D2">
      <w:start w:val="1"/>
      <w:numFmt w:val="bullet"/>
      <w:suff w:val="tab"/>
      <w:lvlText w:val=""/>
      <w:lvlJc w:val="left"/>
      <w:pPr>
        <w:ind w:hanging="360" w:left="1117"/>
        <w:tabs>
          <w:tab w:val="left" w:pos="1117" w:leader="none"/>
        </w:tabs>
      </w:pPr>
      <w:rPr>
        <w:rFonts w:ascii="Symbol" w:hAnsi="Symbol"/>
        <w:sz w:val="16"/>
      </w:rPr>
    </w:lvl>
    <w:lvl w:ilvl="1" w:tplc="4F43E5D7">
      <w:start w:val="1"/>
      <w:numFmt w:val="bullet"/>
      <w:suff w:val="tab"/>
      <w:lvlText w:val="o"/>
      <w:lvlJc w:val="left"/>
      <w:pPr>
        <w:ind w:hanging="360" w:left="1837"/>
        <w:tabs>
          <w:tab w:val="left" w:pos="1837" w:leader="none"/>
        </w:tabs>
      </w:pPr>
      <w:rPr>
        <w:rFonts w:ascii="Courier New" w:hAnsi="Courier New"/>
      </w:rPr>
    </w:lvl>
    <w:lvl w:ilvl="2" w:tplc="112E6983">
      <w:start w:val="1"/>
      <w:numFmt w:val="bullet"/>
      <w:suff w:val="tab"/>
      <w:lvlText w:val=""/>
      <w:lvlJc w:val="left"/>
      <w:pPr>
        <w:ind w:hanging="360" w:left="2557"/>
        <w:tabs>
          <w:tab w:val="left" w:pos="2557" w:leader="none"/>
        </w:tabs>
      </w:pPr>
      <w:rPr>
        <w:rFonts w:ascii="Wingdings" w:hAnsi="Wingdings"/>
      </w:rPr>
    </w:lvl>
    <w:lvl w:ilvl="3" w:tplc="610BF906">
      <w:start w:val="1"/>
      <w:numFmt w:val="bullet"/>
      <w:suff w:val="tab"/>
      <w:lvlText w:val=""/>
      <w:lvlJc w:val="left"/>
      <w:pPr>
        <w:ind w:hanging="360" w:left="3277"/>
        <w:tabs>
          <w:tab w:val="left" w:pos="3277" w:leader="none"/>
        </w:tabs>
      </w:pPr>
      <w:rPr>
        <w:rFonts w:ascii="Symbol" w:hAnsi="Symbol"/>
      </w:rPr>
    </w:lvl>
    <w:lvl w:ilvl="4" w:tplc="775EA3AF">
      <w:start w:val="1"/>
      <w:numFmt w:val="bullet"/>
      <w:suff w:val="tab"/>
      <w:lvlText w:val="o"/>
      <w:lvlJc w:val="left"/>
      <w:pPr>
        <w:ind w:hanging="360" w:left="3997"/>
        <w:tabs>
          <w:tab w:val="left" w:pos="3997" w:leader="none"/>
        </w:tabs>
      </w:pPr>
      <w:rPr>
        <w:rFonts w:ascii="Courier New" w:hAnsi="Courier New"/>
      </w:rPr>
    </w:lvl>
    <w:lvl w:ilvl="5" w:tplc="0A8566B6">
      <w:start w:val="1"/>
      <w:numFmt w:val="bullet"/>
      <w:suff w:val="tab"/>
      <w:lvlText w:val=""/>
      <w:lvlJc w:val="left"/>
      <w:pPr>
        <w:ind w:hanging="360" w:left="4717"/>
        <w:tabs>
          <w:tab w:val="left" w:pos="4717" w:leader="none"/>
        </w:tabs>
      </w:pPr>
      <w:rPr>
        <w:rFonts w:ascii="Wingdings" w:hAnsi="Wingdings"/>
      </w:rPr>
    </w:lvl>
    <w:lvl w:ilvl="6" w:tplc="7B4EFCF6">
      <w:start w:val="1"/>
      <w:numFmt w:val="bullet"/>
      <w:suff w:val="tab"/>
      <w:lvlText w:val=""/>
      <w:lvlJc w:val="left"/>
      <w:pPr>
        <w:ind w:hanging="360" w:left="5437"/>
        <w:tabs>
          <w:tab w:val="left" w:pos="5437" w:leader="none"/>
        </w:tabs>
      </w:pPr>
      <w:rPr>
        <w:rFonts w:ascii="Symbol" w:hAnsi="Symbol"/>
      </w:rPr>
    </w:lvl>
    <w:lvl w:ilvl="7" w:tplc="21B66224">
      <w:start w:val="1"/>
      <w:numFmt w:val="bullet"/>
      <w:suff w:val="tab"/>
      <w:lvlText w:val="o"/>
      <w:lvlJc w:val="left"/>
      <w:pPr>
        <w:ind w:hanging="360" w:left="6157"/>
        <w:tabs>
          <w:tab w:val="left" w:pos="6157" w:leader="none"/>
        </w:tabs>
      </w:pPr>
      <w:rPr>
        <w:rFonts w:ascii="Courier New" w:hAnsi="Courier New"/>
      </w:rPr>
    </w:lvl>
    <w:lvl w:ilvl="8" w:tplc="799B4C55">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F49DDEA">
      <w:start w:val="1"/>
      <w:numFmt w:val="bullet"/>
      <w:suff w:val="tab"/>
      <w:lvlText w:val=""/>
      <w:lvlJc w:val="left"/>
      <w:pPr>
        <w:ind w:hanging="283" w:left="680"/>
        <w:tabs>
          <w:tab w:val="left" w:pos="323" w:leader="none"/>
        </w:tabs>
      </w:pPr>
      <w:rPr>
        <w:rFonts w:ascii="Symbol" w:hAnsi="Symbol"/>
        <w:color w:val="auto"/>
        <w:sz w:val="20"/>
      </w:rPr>
    </w:lvl>
    <w:lvl w:ilvl="1" w:tplc="43ED3DA8">
      <w:start w:val="1"/>
      <w:numFmt w:val="bullet"/>
      <w:suff w:val="tab"/>
      <w:lvlText w:val=""/>
      <w:lvlJc w:val="left"/>
      <w:pPr>
        <w:ind w:hanging="284" w:left="851"/>
        <w:tabs>
          <w:tab w:val="left" w:pos="851" w:leader="none"/>
        </w:tabs>
      </w:pPr>
      <w:rPr>
        <w:rFonts w:ascii="Symbol" w:hAnsi="Symbol"/>
        <w:color w:val="auto"/>
      </w:rPr>
    </w:lvl>
    <w:lvl w:ilvl="2" w:tplc="3F22930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09BC7AD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73367A7C">
      <w:start w:val="1"/>
      <w:numFmt w:val="bullet"/>
      <w:suff w:val="tab"/>
      <w:lvlText w:val=""/>
      <w:lvlJc w:val="left"/>
      <w:pPr>
        <w:ind w:hanging="283" w:left="680"/>
        <w:tabs>
          <w:tab w:val="left" w:pos="323" w:leader="none"/>
        </w:tabs>
      </w:pPr>
      <w:rPr>
        <w:rFonts w:ascii="Symbol" w:hAnsi="Symbol"/>
        <w:color w:val="auto"/>
        <w:sz w:val="20"/>
      </w:rPr>
    </w:lvl>
    <w:lvl w:ilvl="1" w:tplc="4AB84B02">
      <w:start w:val="1"/>
      <w:numFmt w:val="bullet"/>
      <w:suff w:val="tab"/>
      <w:lvlText w:val=""/>
      <w:lvlJc w:val="left"/>
      <w:pPr>
        <w:ind w:hanging="284" w:left="851"/>
        <w:tabs>
          <w:tab w:val="left" w:pos="851" w:leader="none"/>
        </w:tabs>
      </w:pPr>
      <w:rPr>
        <w:rFonts w:ascii="Symbol" w:hAnsi="Symbol"/>
        <w:color w:val="auto"/>
      </w:rPr>
    </w:lvl>
    <w:lvl w:ilvl="2" w:tplc="7088D45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3CC04734">
      <w:start w:val="1"/>
      <w:numFmt w:val="bullet"/>
      <w:suff w:val="tab"/>
      <w:lvlText w:val=""/>
      <w:lvlJc w:val="left"/>
      <w:pPr>
        <w:ind w:hanging="283" w:left="680"/>
        <w:tabs>
          <w:tab w:val="left" w:pos="323" w:leader="none"/>
        </w:tabs>
      </w:pPr>
      <w:rPr>
        <w:rFonts w:ascii="Symbol" w:hAnsi="Symbol"/>
        <w:color w:val="auto"/>
        <w:sz w:val="20"/>
      </w:rPr>
    </w:lvl>
    <w:lvl w:ilvl="1" w:tplc="1A18BBFC">
      <w:start w:val="1"/>
      <w:numFmt w:val="bullet"/>
      <w:suff w:val="tab"/>
      <w:lvlText w:val=""/>
      <w:lvlJc w:val="left"/>
      <w:pPr>
        <w:ind w:hanging="284" w:left="851"/>
        <w:tabs>
          <w:tab w:val="left" w:pos="851" w:leader="none"/>
        </w:tabs>
      </w:pPr>
      <w:rPr>
        <w:rFonts w:ascii="Symbol" w:hAnsi="Symbol"/>
        <w:color w:val="auto"/>
      </w:rPr>
    </w:lvl>
    <w:lvl w:ilvl="2" w:tplc="6CEA61C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3E761D75">
      <w:start w:val="1"/>
      <w:numFmt w:val="bullet"/>
      <w:suff w:val="tab"/>
      <w:lvlText w:val=""/>
      <w:lvlJc w:val="left"/>
      <w:pPr>
        <w:ind w:hanging="283" w:left="680"/>
        <w:tabs>
          <w:tab w:val="left" w:pos="323" w:leader="none"/>
        </w:tabs>
      </w:pPr>
      <w:rPr>
        <w:rFonts w:ascii="Symbol" w:hAnsi="Symbol"/>
        <w:color w:val="auto"/>
        <w:sz w:val="20"/>
      </w:rPr>
    </w:lvl>
    <w:lvl w:ilvl="1" w:tplc="1129EBEA">
      <w:start w:val="1"/>
      <w:numFmt w:val="bullet"/>
      <w:suff w:val="tab"/>
      <w:lvlText w:val=""/>
      <w:lvlJc w:val="left"/>
      <w:pPr>
        <w:ind w:hanging="284" w:left="851"/>
        <w:tabs>
          <w:tab w:val="left" w:pos="851" w:leader="none"/>
        </w:tabs>
      </w:pPr>
      <w:rPr>
        <w:rFonts w:ascii="Symbol" w:hAnsi="Symbol"/>
        <w:color w:val="auto"/>
      </w:rPr>
    </w:lvl>
    <w:lvl w:ilvl="2" w:tplc="0E7DB3A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1EAE745C">
      <w:start w:val="1"/>
      <w:numFmt w:val="bullet"/>
      <w:suff w:val="tab"/>
      <w:lvlText w:val=""/>
      <w:lvlJc w:val="left"/>
      <w:pPr>
        <w:ind w:hanging="283" w:left="680"/>
        <w:tabs>
          <w:tab w:val="left" w:pos="323" w:leader="none"/>
        </w:tabs>
      </w:pPr>
      <w:rPr>
        <w:rFonts w:ascii="Symbol" w:hAnsi="Symbol"/>
        <w:color w:val="auto"/>
        <w:sz w:val="20"/>
      </w:rPr>
    </w:lvl>
    <w:lvl w:ilvl="1" w:tplc="675ECD6F">
      <w:start w:val="1"/>
      <w:numFmt w:val="bullet"/>
      <w:suff w:val="tab"/>
      <w:lvlText w:val=""/>
      <w:lvlJc w:val="left"/>
      <w:pPr>
        <w:ind w:hanging="284" w:left="851"/>
        <w:tabs>
          <w:tab w:val="left" w:pos="851" w:leader="none"/>
        </w:tabs>
      </w:pPr>
      <w:rPr>
        <w:rFonts w:ascii="Symbol" w:hAnsi="Symbol"/>
        <w:color w:val="auto"/>
      </w:rPr>
    </w:lvl>
    <w:lvl w:ilvl="2" w:tplc="2554CD9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030B1767">
      <w:start w:val="0"/>
      <w:numFmt w:val="bullet"/>
      <w:suff w:val="tab"/>
      <w:lvlText w:val="-"/>
      <w:lvlJc w:val="left"/>
      <w:pPr>
        <w:ind w:hanging="360" w:left="720"/>
        <w:tabs>
          <w:tab w:val="left" w:pos="720" w:leader="none"/>
        </w:tabs>
      </w:pPr>
      <w:rPr>
        <w:rFonts w:ascii="Arial" w:hAnsi="Arial"/>
      </w:rPr>
    </w:lvl>
    <w:lvl w:ilvl="1" w:tplc="7B7038EB">
      <w:start w:val="1"/>
      <w:numFmt w:val="bullet"/>
      <w:suff w:val="tab"/>
      <w:lvlText w:val="o"/>
      <w:lvlJc w:val="left"/>
      <w:pPr>
        <w:ind w:hanging="360" w:left="1440"/>
        <w:tabs>
          <w:tab w:val="left" w:pos="1440" w:leader="none"/>
        </w:tabs>
      </w:pPr>
      <w:rPr>
        <w:rFonts w:ascii="Courier New" w:hAnsi="Courier New"/>
      </w:rPr>
    </w:lvl>
    <w:lvl w:ilvl="2" w:tplc="24AB3DC7">
      <w:start w:val="1"/>
      <w:numFmt w:val="bullet"/>
      <w:suff w:val="tab"/>
      <w:lvlText w:val=""/>
      <w:lvlJc w:val="left"/>
      <w:pPr>
        <w:ind w:hanging="360" w:left="2160"/>
        <w:tabs>
          <w:tab w:val="left" w:pos="2160" w:leader="none"/>
        </w:tabs>
      </w:pPr>
      <w:rPr>
        <w:rFonts w:ascii="Wingdings" w:hAnsi="Wingdings"/>
      </w:rPr>
    </w:lvl>
    <w:lvl w:ilvl="3" w:tplc="62A8A6DD">
      <w:start w:val="1"/>
      <w:numFmt w:val="bullet"/>
      <w:suff w:val="tab"/>
      <w:lvlText w:val=""/>
      <w:lvlJc w:val="left"/>
      <w:pPr>
        <w:ind w:hanging="360" w:left="2880"/>
        <w:tabs>
          <w:tab w:val="left" w:pos="2880" w:leader="none"/>
        </w:tabs>
      </w:pPr>
      <w:rPr>
        <w:rFonts w:ascii="Symbol" w:hAnsi="Symbol"/>
      </w:rPr>
    </w:lvl>
    <w:lvl w:ilvl="4" w:tplc="592663E6">
      <w:start w:val="1"/>
      <w:numFmt w:val="bullet"/>
      <w:suff w:val="tab"/>
      <w:lvlText w:val="o"/>
      <w:lvlJc w:val="left"/>
      <w:pPr>
        <w:ind w:hanging="360" w:left="3600"/>
        <w:tabs>
          <w:tab w:val="left" w:pos="3600" w:leader="none"/>
        </w:tabs>
      </w:pPr>
      <w:rPr>
        <w:rFonts w:ascii="Courier New" w:hAnsi="Courier New"/>
      </w:rPr>
    </w:lvl>
    <w:lvl w:ilvl="5" w:tplc="426DF7C1">
      <w:start w:val="1"/>
      <w:numFmt w:val="bullet"/>
      <w:suff w:val="tab"/>
      <w:lvlText w:val=""/>
      <w:lvlJc w:val="left"/>
      <w:pPr>
        <w:ind w:hanging="360" w:left="4320"/>
        <w:tabs>
          <w:tab w:val="left" w:pos="4320" w:leader="none"/>
        </w:tabs>
      </w:pPr>
      <w:rPr>
        <w:rFonts w:ascii="Wingdings" w:hAnsi="Wingdings"/>
      </w:rPr>
    </w:lvl>
    <w:lvl w:ilvl="6" w:tplc="71FC1283">
      <w:start w:val="1"/>
      <w:numFmt w:val="bullet"/>
      <w:suff w:val="tab"/>
      <w:lvlText w:val=""/>
      <w:lvlJc w:val="left"/>
      <w:pPr>
        <w:ind w:hanging="360" w:left="5040"/>
        <w:tabs>
          <w:tab w:val="left" w:pos="5040" w:leader="none"/>
        </w:tabs>
      </w:pPr>
      <w:rPr>
        <w:rFonts w:ascii="Symbol" w:hAnsi="Symbol"/>
      </w:rPr>
    </w:lvl>
    <w:lvl w:ilvl="7" w:tplc="12D38444">
      <w:start w:val="1"/>
      <w:numFmt w:val="bullet"/>
      <w:suff w:val="tab"/>
      <w:lvlText w:val="o"/>
      <w:lvlJc w:val="left"/>
      <w:pPr>
        <w:ind w:hanging="360" w:left="5760"/>
        <w:tabs>
          <w:tab w:val="left" w:pos="5760" w:leader="none"/>
        </w:tabs>
      </w:pPr>
      <w:rPr>
        <w:rFonts w:ascii="Courier New" w:hAnsi="Courier New"/>
      </w:rPr>
    </w:lvl>
    <w:lvl w:ilvl="8" w:tplc="5C4F028D">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70F9BAF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2013-02-19T11:12:00Z</dcterms:created>
  <cp:lastModifiedBy>Nikola Kapetanovic</cp:lastModifiedBy>
  <cp:lastPrinted>2013-02-19T11:11:00Z</cp:lastPrinted>
  <dcterms:modified xsi:type="dcterms:W3CDTF">2020-01-10T11:42:29Z</dcterms:modified>
  <cp:revision>3</cp:revision>
  <dc:title>                  </dc:title>
</cp:coreProperties>
</file>