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7F7FE86" Type="http://schemas.openxmlformats.org/officeDocument/2006/relationships/officeDocument" Target="/word/document.xml" /><Relationship Id="coreR17F7FE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017 - Year LXIII, 31/01/2013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SERB017 PM10 310113</w:t>
            </w:r>
          </w:p>
        </w:tc>
      </w:tr>
    </w:tbl>
    <w:p>
      <w:pPr>
        <w:pStyle w:val="P27"/>
      </w:pPr>
    </w:p>
    <w:p>
      <w:pPr>
        <w:pStyle w:val="P26"/>
        <w:spacing w:before="720"/>
      </w:pPr>
      <w:r>
        <w:t>Retail trade turnover in the Republic of Serbia, December 2012</w:t>
      </w:r>
    </w:p>
    <w:p>
      <w:pPr>
        <w:pStyle w:val="P21"/>
        <w:spacing w:before="360" w:after="360"/>
        <w:ind w:left="360"/>
      </w:pPr>
      <w:r>
        <w:t>– Preliminary results –</w:t>
      </w:r>
    </w:p>
    <w:p>
      <w:pPr>
        <w:pStyle w:val="P14"/>
        <w:spacing w:before="120" w:after="120"/>
        <w:ind w:firstLine="397"/>
      </w:pPr>
      <w:r>
        <w:t xml:space="preserve">According to the preliminary results, the turnover of retail trade in the Republic of Serbia in December 2012, compared to December 2011, decreased by 1.1% at current prices and by 11.9% at constant prices. In December 2012 compared to November 2012, the turnover increased by 10.6% at current prices and by 11.4% at constant prices. </w:t>
      </w:r>
    </w:p>
    <w:p>
      <w:pPr>
        <w:pStyle w:val="P14"/>
        <w:spacing w:before="120" w:after="120"/>
        <w:ind w:firstLine="397"/>
        <w:rPr>
          <w:sz w:val="20"/>
        </w:rPr>
      </w:pPr>
      <w:r>
        <w:t>Retail trade turnover in 2012, compared with 2011, increased by 2.3% at current prices and decreased by 6.2% at constant prices.</w:t>
      </w:r>
    </w:p>
    <w:p>
      <w:pPr>
        <w:pStyle w:val="P12"/>
        <w:ind w:firstLine="0" w:left="0"/>
        <w:jc w:val="center"/>
      </w:pPr>
    </w:p>
    <w:p>
      <w:pPr>
        <w:pStyle w:val="P12"/>
        <w:ind w:firstLine="0" w:left="0"/>
        <w:jc w:val="center"/>
      </w:pPr>
    </w:p>
    <w:p>
      <w:pPr>
        <w:pStyle w:val="P2"/>
        <w:ind w:left="0"/>
      </w:pPr>
    </w:p>
    <w:p>
      <w:pPr>
        <w:jc w:val="center"/>
      </w:pP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2571750</wp:posOffset>
                </wp:positionH>
                <wp:positionV relativeFrom="paragraph">
                  <wp:posOffset>3489960</wp:posOffset>
                </wp:positionV>
                <wp:extent cx="756285" cy="114300"/>
                <wp:wrapNone/>
                <wp:docPr id="2" name="Text Box 2"/>
                <a:graphic xmlns:a="http://schemas.openxmlformats.org/drawingml/2006/main">
                  <a:graphicData uri="http://schemas.microsoft.com/office/word/2010/wordprocessingShape">
                    <wps:wsp>
                      <wps:cNvSpPr/>
                      <wps:spPr>
                        <a:xfrm>
                          <a:off x="0" y="0"/>
                          <a:ext cx="756285" cy="114300"/>
                        </a:xfrm>
                        <a:prstGeom prst="rect"/>
                      </wps:spPr>
                      <wps:txbx>
                        <w:txbxContent>
                          <w:p>
                            <w:pPr>
                              <w:rPr>
                                <w:sz w:val="16"/>
                              </w:rPr>
                            </w:pPr>
                            <w:r>
                              <w:rPr>
                                <w:sz w:val="16"/>
                              </w:rPr>
                              <w:t>current prices</w:t>
                            </w:r>
                          </w:p>
                        </w:txbxContent>
                      </wps:txbx>
                      <wps:bodyPr lIns="17780" tIns="0" rIns="17780" bIns="0">
                        <a:noAutofit/>
                      </wps:bodyPr>
                    </wps:wsp>
                  </a:graphicData>
                </a:graphic>
              </wp:anchor>
            </w:drawing>
          </mc:Choice>
          <mc:Fallback>
            <w:pict>
              <v:shapetype id="3" path="m,l,21600r21600,l21600,xe"/>
              <v:shape xmlns:o="urn:schemas-microsoft-com:office:office" type="#3" id="Text Box 2" style="position:absolute;width:59.55pt;height:9pt;z-index:3;mso-wrap-distance-left:9pt;mso-wrap-distance-top:0pt;mso-wrap-distance-right:9pt;mso-wrap-distance-bottom:0pt;margin-left:202.5pt;margin-top:274.8pt;mso-position-horizontal:absolute;mso-position-horizontal-relative:text;mso-position-vertical:absolute;mso-position-vertical-relative:text" stroked="f" o:allowincell="t">
                <v:textbox style="mso-fit-shape-to-text:f" inset="0mm,0mm,0mm,0mm">
                  <w:txbxContent>
                    <w:p>
                      <w:pPr>
                        <w:rPr>
                          <w:sz w:val="16"/>
                        </w:rPr>
                      </w:pPr>
                      <w:r>
                        <w:rPr>
                          <w:sz w:val="16"/>
                        </w:rPr>
                        <w:t>current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3581400</wp:posOffset>
                </wp:positionH>
                <wp:positionV relativeFrom="paragraph">
                  <wp:posOffset>3489960</wp:posOffset>
                </wp:positionV>
                <wp:extent cx="791845" cy="114300"/>
                <wp:wrapNone/>
                <wp:docPr id="4" name="Text Box 4"/>
                <a:graphic xmlns:a="http://schemas.openxmlformats.org/drawingml/2006/main">
                  <a:graphicData uri="http://schemas.microsoft.com/office/word/2010/wordprocessingShape">
                    <wps:wsp>
                      <wps:cNvSpPr/>
                      <wps:spPr>
                        <a:xfrm>
                          <a:off x="0" y="0"/>
                          <a:ext cx="791845" cy="114300"/>
                        </a:xfrm>
                        <a:prstGeom prst="rect"/>
                      </wps:spPr>
                      <wps:txbx>
                        <w:txbxContent>
                          <w:p>
                            <w:pPr>
                              <w:rPr>
                                <w:sz w:val="16"/>
                              </w:rPr>
                            </w:pPr>
                            <w:r>
                              <w:rPr>
                                <w:sz w:val="16"/>
                              </w:rPr>
                              <w:t>constant prices</w:t>
                            </w:r>
                          </w:p>
                        </w:txbxContent>
                      </wps:txbx>
                      <wps:bodyPr lIns="17780" tIns="0" rIns="17780" bIns="0">
                        <a:noAutofit/>
                      </wps:bodyPr>
                    </wps:wsp>
                  </a:graphicData>
                </a:graphic>
              </wp:anchor>
            </w:drawing>
          </mc:Choice>
          <mc:Fallback>
            <w:pict>
              <v:shapetype id="5" path="m,l,21600r21600,l21600,xe"/>
              <v:shape xmlns:o="urn:schemas-microsoft-com:office:office" type="#5" id="Text Box 4" style="position:absolute;width:62.35pt;height:9pt;z-index:4;mso-wrap-distance-left:9pt;mso-wrap-distance-top:0pt;mso-wrap-distance-right:9pt;mso-wrap-distance-bottom:0pt;margin-left:282pt;margin-top:274.8pt;mso-position-horizontal:absolute;mso-position-horizontal-relative:text;mso-position-vertical:absolute;mso-position-vertical-relative:text" stroked="f" o:allowincell="t">
                <v:textbox style="mso-fit-shape-to-text:f" inset="0mm,0mm,0mm,0mm">
                  <w:txbxContent>
                    <w:p>
                      <w:pPr>
                        <w:rPr>
                          <w:sz w:val="16"/>
                        </w:rPr>
                      </w:pPr>
                      <w:r>
                        <w:rPr>
                          <w:sz w:val="16"/>
                        </w:rPr>
                        <w:t>constant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1485900</wp:posOffset>
                </wp:positionH>
                <wp:positionV relativeFrom="paragraph">
                  <wp:posOffset>137160</wp:posOffset>
                </wp:positionV>
                <wp:extent cx="3429000" cy="571500"/>
                <wp:wrapNone/>
                <wp:docPr id="6" name="Text Box 6"/>
                <a:graphic xmlns:a="http://schemas.openxmlformats.org/drawingml/2006/main">
                  <a:graphicData uri="http://schemas.microsoft.com/office/word/2010/wordprocessingShape">
                    <wps:wsp>
                      <wps:cNvSpPr/>
                      <wps:spPr>
                        <a:xfrm>
                          <a:off x="0" y="0"/>
                          <a:ext cx="3429000" cy="571500"/>
                        </a:xfrm>
                        <a:prstGeom prst="rect"/>
                      </wps:spPr>
                      <wps:txbx>
                        <w:txbxContent>
                          <w:p>
                            <w:pPr>
                              <w:jc w:val="center"/>
                              <w:rPr>
                                <w:b w:val="1"/>
                              </w:rPr>
                            </w:pPr>
                            <w:r>
                              <w:rPr>
                                <w:b w:val="1"/>
                              </w:rPr>
                              <w:t>Retail trade turnov</w:t>
                            </w:r>
                            <w:r>
                              <w:rPr>
                                <w:b w:val="1"/>
                              </w:rPr>
                              <w:t>er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2011</w:t>
                            </w:r>
                            <w:r>
                              <w:rPr>
                                <w:b w:val="1"/>
                              </w:rPr>
                              <w:t>=100)</w:t>
                            </w:r>
                          </w:p>
                          <w:p>
                            <w:pPr>
                              <w:jc w:val="center"/>
                            </w:pPr>
                          </w:p>
                        </w:txbxContent>
                      </wps:txbx>
                      <wps:bodyPr/>
                    </wps:wsp>
                  </a:graphicData>
                </a:graphic>
              </wp:anchor>
            </w:drawing>
          </mc:Choice>
          <mc:Fallback>
            <w:pict>
              <v:shapetype id="7" path="m,l,21600r21600,l21600,xe"/>
              <v:shape xmlns:o="urn:schemas-microsoft-com:office:office" type="#7" id="Text Box 6" style="position:absolute;width:270pt;height:45pt;z-index:1;mso-wrap-distance-left:9pt;mso-wrap-distance-top:0pt;mso-wrap-distance-right:9pt;mso-wrap-distance-bottom:0pt;margin-left:117pt;margin-top:10.8pt;mso-position-horizontal:absolute;mso-position-horizontal-relative:text;mso-position-vertical:absolute;mso-position-vertical-relative:text" stroked="f" o:allowincell="t">
                <v:textbox>
                  <w:txbxContent>
                    <w:p>
                      <w:pPr>
                        <w:jc w:val="center"/>
                        <w:rPr>
                          <w:b w:val="1"/>
                        </w:rPr>
                      </w:pPr>
                      <w:r>
                        <w:rPr>
                          <w:b w:val="1"/>
                        </w:rPr>
                        <w:t>Retail trade turnov</w:t>
                      </w:r>
                      <w:r>
                        <w:rPr>
                          <w:b w:val="1"/>
                        </w:rPr>
                        <w:t>er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2011</w:t>
                      </w:r>
                      <w:r>
                        <w:rPr>
                          <w:b w:val="1"/>
                        </w:rPr>
                        <w:t>=100)</w:t>
                      </w:r>
                    </w:p>
                    <w:p>
                      <w:pPr>
                        <w:jc w:val="center"/>
                      </w:pPr>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571500</wp:posOffset>
                </wp:positionH>
                <wp:positionV relativeFrom="paragraph">
                  <wp:posOffset>2994660</wp:posOffset>
                </wp:positionV>
                <wp:extent cx="5486400" cy="342900"/>
                <wp:wrapNone/>
                <wp:docPr id="8" name="Text Box 8"/>
                <a:graphic xmlns:a="http://schemas.openxmlformats.org/drawingml/2006/main">
                  <a:graphicData uri="http://schemas.microsoft.com/office/word/2010/wordprocessingShape">
                    <wps:wsp>
                      <wps:cNvSpPr/>
                      <wps:spPr>
                        <a:xfrm>
                          <a:off x="0" y="0"/>
                          <a:ext cx="5486400" cy="342900"/>
                        </a:xfrm>
                        <a:prstGeom prst="rect"/>
                      </wps:spPr>
                      <wps:txbx>
                        <w:txbxContent>
                          <w:p>
                            <w:pPr>
                              <w:rPr>
                                <w:sz w:val="18"/>
                              </w:rPr>
                            </w:pPr>
                            <w:r>
                              <w:rPr>
                                <w:sz w:val="18"/>
                              </w:rPr>
                              <w:t xml:space="preserve">   Dec      Jan        Feb      March     Apr       May     June       July       Aug      Sept     Oct     Nov         Dec</w:t>
                            </w:r>
                          </w:p>
                          <w:p>
                            <w:pPr>
                              <w:rPr>
                                <w:sz w:val="18"/>
                              </w:rPr>
                            </w:pPr>
                            <w:r>
                              <w:rPr>
                                <w:sz w:val="18"/>
                              </w:rPr>
                              <w:t xml:space="preserve">   2011                                                                                                                                                    2012</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432pt;height:27pt;z-index:2;mso-wrap-distance-left:9pt;mso-wrap-distance-top:0pt;mso-wrap-distance-right:9pt;mso-wrap-distance-bottom:0pt;margin-left:45pt;margin-top:235.8pt;mso-position-horizontal:absolute;mso-position-horizontal-relative:text;mso-position-vertical:absolute;mso-position-vertical-relative:text" stroked="f" o:allowincell="t">
                <v:textbox inset="0mm,0mm,0mm,0mm">
                  <w:txbxContent>
                    <w:p>
                      <w:pPr>
                        <w:rPr>
                          <w:sz w:val="18"/>
                        </w:rPr>
                      </w:pPr>
                      <w:r>
                        <w:rPr>
                          <w:sz w:val="18"/>
                        </w:rPr>
                        <w:t xml:space="preserve">   Dec      Jan        Feb      March     Apr       May     June       July       Aug      Sept     Oct     Nov         Dec</w:t>
                      </w:r>
                    </w:p>
                    <w:p>
                      <w:pPr>
                        <w:rPr>
                          <w:sz w:val="18"/>
                        </w:rPr>
                      </w:pPr>
                      <w:r>
                        <w:rPr>
                          <w:sz w:val="18"/>
                        </w:rPr>
                        <w:t xml:space="preserve">   2011                                                                                                                                                    2012</w:t>
                      </w:r>
                    </w:p>
                  </w:txbxContent>
                </v:textbox>
              </v:shape>
            </w:pict>
          </mc:Fallback>
        </mc:AlternateContent>
      </w:r>
      <w:r>
        <w:fldChar w:fldCharType="begin"/>
      </w:r>
      <w:r>
        <w:instrText xml:space="preserve"> EMBED Excel.Chart.8 \s </w:instrText>
      </w:r>
      <w:bookmarkStart w:id="0" w:name="_1358244825"/>
      <w:bookmarkEnd w:id="0"/>
      <w:bookmarkStart w:id="1" w:name="_1358335637"/>
      <w:bookmarkEnd w:id="1"/>
      <w:bookmarkStart w:id="2" w:name="_1358335763"/>
      <w:bookmarkEnd w:id="2"/>
      <w:bookmarkStart w:id="3" w:name="_1359889006"/>
      <w:bookmarkEnd w:id="3"/>
      <w:bookmarkStart w:id="4" w:name="_1359889122"/>
      <w:bookmarkEnd w:id="4"/>
      <w:bookmarkStart w:id="5" w:name="_1360145651"/>
      <w:bookmarkEnd w:id="5"/>
      <w:bookmarkStart w:id="6" w:name="_1360389457"/>
      <w:bookmarkEnd w:id="6"/>
      <w:bookmarkStart w:id="7" w:name="_1360390217"/>
      <w:bookmarkEnd w:id="7"/>
      <w:bookmarkStart w:id="8" w:name="_1360391028"/>
      <w:bookmarkEnd w:id="8"/>
      <w:bookmarkStart w:id="9" w:name="_1362995165"/>
      <w:bookmarkEnd w:id="9"/>
      <w:bookmarkStart w:id="10" w:name="_1362995259"/>
      <w:bookmarkEnd w:id="10"/>
      <w:bookmarkStart w:id="11" w:name="_1362995454"/>
      <w:bookmarkEnd w:id="11"/>
      <w:bookmarkStart w:id="12" w:name="_1362997939"/>
      <w:bookmarkEnd w:id="12"/>
      <w:bookmarkStart w:id="13" w:name="_1392536446"/>
      <w:bookmarkEnd w:id="13"/>
      <w:bookmarkStart w:id="14" w:name="_1394517863"/>
      <w:bookmarkEnd w:id="14"/>
      <w:bookmarkStart w:id="15" w:name="_1394518559"/>
      <w:bookmarkEnd w:id="15"/>
      <w:bookmarkStart w:id="16" w:name="_1396958620"/>
      <w:bookmarkEnd w:id="16"/>
      <w:bookmarkStart w:id="17" w:name="_1398085742"/>
      <w:bookmarkEnd w:id="17"/>
      <w:bookmarkStart w:id="18" w:name="_1404891443"/>
      <w:bookmarkEnd w:id="18"/>
      <w:bookmarkStart w:id="19" w:name="_1410253792"/>
      <w:bookmarkEnd w:id="19"/>
      <w:bookmarkStart w:id="20" w:name="_1410259703"/>
      <w:bookmarkEnd w:id="20"/>
      <w:bookmarkStart w:id="21" w:name="_1412683555"/>
      <w:bookmarkEnd w:id="21"/>
      <w:bookmarkStart w:id="22" w:name="_1415607922"/>
      <w:bookmarkEnd w:id="22"/>
      <w:bookmarkStart w:id="23" w:name="_1415609061"/>
      <w:bookmarkEnd w:id="23"/>
      <w:bookmarkStart w:id="24" w:name="_1418118500"/>
      <w:bookmarkEnd w:id="24"/>
      <w:bookmarkStart w:id="25" w:name="_1420973701"/>
      <w:bookmarkEnd w:id="25"/>
      <w:bookmarkStart w:id="26" w:name="_1420891377"/>
      <w:bookmarkEnd w:id="26"/>
      <w:bookmarkStart w:id="27" w:name="_1418114923"/>
      <w:bookmarkEnd w:id="27"/>
      <w:bookmarkStart w:id="28" w:name="_1415608895"/>
      <w:bookmarkEnd w:id="28"/>
      <w:bookmarkStart w:id="29" w:name="_1412683599"/>
      <w:bookmarkEnd w:id="29"/>
      <w:bookmarkStart w:id="30" w:name="_1412683531"/>
      <w:bookmarkEnd w:id="30"/>
      <w:bookmarkStart w:id="31" w:name="_1410253915"/>
      <w:bookmarkEnd w:id="31"/>
      <w:bookmarkStart w:id="32" w:name="_1407583711"/>
      <w:bookmarkEnd w:id="32"/>
      <w:bookmarkStart w:id="33" w:name="_1401175561"/>
      <w:bookmarkEnd w:id="33"/>
      <w:bookmarkStart w:id="34" w:name="_1396959334"/>
      <w:bookmarkEnd w:id="34"/>
      <w:bookmarkStart w:id="35" w:name="_1396420409"/>
      <w:bookmarkEnd w:id="35"/>
      <w:bookmarkStart w:id="36" w:name="_1394517881"/>
      <w:bookmarkEnd w:id="36"/>
      <w:bookmarkStart w:id="37" w:name="_1394516914"/>
      <w:bookmarkEnd w:id="37"/>
      <w:bookmarkStart w:id="38" w:name="_1392536296"/>
      <w:bookmarkEnd w:id="38"/>
      <w:bookmarkStart w:id="39" w:name="_1362995495"/>
      <w:bookmarkEnd w:id="39"/>
      <w:bookmarkStart w:id="40" w:name="_1362995345"/>
      <w:bookmarkEnd w:id="40"/>
      <w:bookmarkStart w:id="41" w:name="_1362995231"/>
      <w:bookmarkEnd w:id="41"/>
      <w:bookmarkStart w:id="42" w:name="_1362995094"/>
      <w:bookmarkEnd w:id="42"/>
      <w:bookmarkStart w:id="43" w:name="_1360390771"/>
      <w:bookmarkEnd w:id="43"/>
      <w:bookmarkStart w:id="44" w:name="_1360389603"/>
      <w:bookmarkEnd w:id="44"/>
      <w:bookmarkStart w:id="45" w:name="_1360389179"/>
      <w:bookmarkEnd w:id="45"/>
      <w:bookmarkStart w:id="46" w:name="_1360145151"/>
      <w:bookmarkEnd w:id="46"/>
      <w:bookmarkStart w:id="47" w:name="_1359889055"/>
      <w:bookmarkEnd w:id="47"/>
      <w:bookmarkStart w:id="48" w:name="_1358683586"/>
      <w:bookmarkEnd w:id="48"/>
      <w:bookmarkStart w:id="49" w:name="_1358335734"/>
      <w:bookmarkEnd w:id="49"/>
      <w:bookmarkStart w:id="50" w:name="_1358335502"/>
      <w:bookmarkEnd w:id="50"/>
      <w:r>
        <w:fldChar w:fldCharType="separate"/>
      </w:r>
      <w:r>
        <w:drawing>
          <wp:inline xmlns:wp="http://schemas.openxmlformats.org/drawingml/2006/wordprocessingDrawing">
            <wp:extent cx="6191250" cy="37331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6191250" cy="3733165"/>
                    </a:xfrm>
                    <a:prstGeom prst="rect"/>
                    <a:noFill/>
                  </pic:spPr>
                </pic:pic>
              </a:graphicData>
            </a:graphic>
          </wp:inline>
        </w:drawing>
      </w:r>
      <w:r>
        <w:fldChar w:fldCharType="end"/>
      </w:r>
    </w:p>
    <w:p>
      <w:pPr>
        <w:pStyle w:val="P2"/>
        <w:spacing w:after="40"/>
        <w:ind w:left="0"/>
        <w:rPr>
          <w:sz w:val="2"/>
        </w:rPr>
      </w:pPr>
      <w:r>
        <w:br w:type="page"/>
      </w:r>
    </w:p>
    <w:p>
      <w:pPr>
        <w:pStyle w:val="P2"/>
        <w:spacing w:after="40"/>
        <w:ind w:left="0"/>
      </w:pPr>
      <w:r>
        <w:t>Retail trade turnover indices</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spacing w:before="60" w:after="60"/>
              <w:jc w:val="center"/>
              <w:rPr>
                <w:b w:val="1"/>
                <w:color w:val="FF0000"/>
                <w:sz w:val="16"/>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8"/>
                <w:u w:val="single"/>
              </w:rPr>
            </w:pPr>
            <w:r>
              <w:rPr>
                <w:sz w:val="18"/>
                <w:u w:val="single"/>
              </w:rPr>
              <w:t>XII 2012</w:t>
            </w:r>
          </w:p>
          <w:p>
            <w:pPr>
              <w:jc w:val="center"/>
              <w:rPr>
                <w:sz w:val="18"/>
              </w:rPr>
            </w:pPr>
            <w:r>
              <w:rPr>
                <w:sz w:val="18"/>
              </w:rPr>
              <w:t>XII 2011</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XII 2012</w:t>
            </w:r>
          </w:p>
          <w:p>
            <w:pPr>
              <w:jc w:val="center"/>
              <w:rPr>
                <w:sz w:val="18"/>
              </w:rPr>
            </w:pPr>
            <w:r>
              <w:rPr>
                <w:sz w:val="18"/>
              </w:rPr>
              <w:t>XI 2012</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I-XII 2012</w:t>
            </w:r>
          </w:p>
          <w:p>
            <w:pPr>
              <w:jc w:val="center"/>
              <w:rPr>
                <w:sz w:val="18"/>
              </w:rPr>
            </w:pPr>
            <w:r>
              <w:rPr>
                <w:sz w:val="18"/>
              </w:rPr>
              <w:t>I-XII 2011</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XI 2012</w:t>
            </w:r>
          </w:p>
          <w:p>
            <w:pPr>
              <w:jc w:val="center"/>
              <w:rPr>
                <w:sz w:val="18"/>
              </w:rPr>
            </w:pPr>
            <w:r>
              <w:rPr>
                <w:sz w:val="18"/>
              </w:rPr>
              <w:t>Ø 2011</w:t>
            </w:r>
          </w:p>
        </w:tc>
        <w:tc>
          <w:tcPr>
            <w:tcW w:w="1493"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8"/>
              </w:rPr>
            </w:pPr>
            <w:r>
              <w:rPr>
                <w:sz w:val="18"/>
              </w:rPr>
              <w:t>XII 2012</w:t>
            </w:r>
          </w:p>
          <w:p>
            <w:pPr>
              <w:jc w:val="center"/>
              <w:rPr>
                <w:sz w:val="18"/>
              </w:rPr>
            </w:pPr>
            <w:r>
              <w:rPr>
                <w:sz w:val="18"/>
              </w:rPr>
              <w:t>Ø 2011</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spacing w:before="120" w:after="120"/>
              <w:jc w:val="center"/>
              <w:rPr>
                <w:b w:val="1"/>
                <w:sz w:val="16"/>
              </w:rPr>
            </w:pPr>
            <w:r>
              <w:rPr>
                <w:b w:val="1"/>
                <w:sz w:val="16"/>
              </w:rPr>
              <w:t>at current prices</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spacing w:before="60"/>
              <w:rPr>
                <w:sz w:val="16"/>
              </w:rPr>
            </w:pPr>
            <w:r>
              <w:rPr>
                <w:sz w:val="16"/>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spacing w:before="60" w:after="60"/>
              <w:ind w:right="360"/>
              <w:jc w:val="right"/>
              <w:rPr>
                <w:b w:val="1"/>
                <w:sz w:val="18"/>
              </w:rPr>
            </w:pPr>
            <w:r>
              <w:rPr>
                <w:b w:val="1"/>
                <w:sz w:val="18"/>
              </w:rPr>
              <w:t>98,9</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b w:val="1"/>
                <w:sz w:val="18"/>
              </w:rPr>
            </w:pPr>
            <w:r>
              <w:rPr>
                <w:b w:val="1"/>
                <w:sz w:val="18"/>
              </w:rPr>
              <w:t>110,6</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b w:val="1"/>
                <w:sz w:val="18"/>
              </w:rPr>
            </w:pPr>
            <w:r>
              <w:rPr>
                <w:b w:val="1"/>
                <w:sz w:val="18"/>
              </w:rPr>
              <w:t>102,3</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b w:val="1"/>
                <w:sz w:val="18"/>
              </w:rPr>
            </w:pPr>
            <w:r>
              <w:rPr>
                <w:b w:val="1"/>
                <w:sz w:val="18"/>
              </w:rPr>
              <w:t>103,4</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b w:val="1"/>
                <w:sz w:val="18"/>
              </w:rPr>
            </w:pPr>
            <w:r>
              <w:rPr>
                <w:b w:val="1"/>
                <w:sz w:val="18"/>
              </w:rPr>
              <w:t>114,4</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spacing w:before="60" w:after="60"/>
              <w:rPr>
                <w:sz w:val="16"/>
              </w:rPr>
            </w:pPr>
            <w:r>
              <w:rPr>
                <w:sz w:val="16"/>
              </w:rPr>
              <w:t>Srbija – Sever</w:t>
            </w:r>
          </w:p>
        </w:tc>
        <w:tc>
          <w:tcPr>
            <w:tcW w:w="1493" w:type="dxa"/>
            <w:tcBorders>
              <w:top w:val="none" w:sz="0" w:space="0" w:shadow="0" w:frame="0"/>
              <w:left w:val="single" w:sz="4" w:space="0" w:shadow="0" w:frame="0"/>
              <w:bottom w:val="none" w:sz="0" w:space="0" w:shadow="0" w:frame="0"/>
              <w:right w:val="none" w:sz="0" w:space="0" w:shadow="0" w:frame="0"/>
            </w:tcBorders>
          </w:tcPr>
          <w:p>
            <w:pPr>
              <w:spacing w:before="60" w:after="60"/>
              <w:ind w:right="360"/>
              <w:jc w:val="right"/>
              <w:rPr>
                <w:sz w:val="18"/>
              </w:rPr>
            </w:pPr>
            <w:r>
              <w:rPr>
                <w:sz w:val="18"/>
              </w:rPr>
              <w:t>98,4</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112,7</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104,0</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106,1</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119,6</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spacing w:before="60" w:after="60"/>
              <w:rPr>
                <w:sz w:val="16"/>
              </w:rPr>
            </w:pPr>
            <w:r>
              <w:rPr>
                <w:sz w:val="16"/>
              </w:rPr>
              <w:t xml:space="preserve">     Region Vojvodine </w:t>
            </w:r>
          </w:p>
        </w:tc>
        <w:tc>
          <w:tcPr>
            <w:tcW w:w="1493" w:type="dxa"/>
            <w:tcBorders>
              <w:top w:val="none" w:sz="0" w:space="0" w:shadow="0" w:frame="0"/>
              <w:left w:val="single" w:sz="4" w:space="0" w:shadow="0" w:frame="0"/>
              <w:bottom w:val="none" w:sz="0" w:space="0" w:shadow="0" w:frame="0"/>
              <w:right w:val="none" w:sz="0" w:space="0" w:shadow="0" w:frame="0"/>
            </w:tcBorders>
          </w:tcPr>
          <w:p>
            <w:pPr>
              <w:spacing w:before="60" w:after="60"/>
              <w:ind w:right="360"/>
              <w:jc w:val="right"/>
              <w:rPr>
                <w:sz w:val="18"/>
              </w:rPr>
            </w:pPr>
            <w:r>
              <w:rPr>
                <w:sz w:val="18"/>
              </w:rPr>
              <w:t>98,5</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106,6</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105,2</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108,8</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116,0</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spacing w:before="60" w:after="60"/>
              <w:rPr>
                <w:sz w:val="16"/>
              </w:rPr>
            </w:pPr>
            <w:r>
              <w:rPr>
                <w:sz w:val="16"/>
              </w:rPr>
              <w:t xml:space="preserve"> Srbija – Jug</w:t>
            </w:r>
          </w:p>
        </w:tc>
        <w:tc>
          <w:tcPr>
            <w:tcW w:w="1493" w:type="dxa"/>
            <w:tcBorders>
              <w:top w:val="none" w:sz="0" w:space="0" w:shadow="0" w:frame="0"/>
              <w:left w:val="single" w:sz="4" w:space="0" w:shadow="0" w:frame="0"/>
              <w:bottom w:val="none" w:sz="0" w:space="0" w:shadow="0" w:frame="0"/>
              <w:right w:val="none" w:sz="0" w:space="0" w:shadow="0" w:frame="0"/>
            </w:tcBorders>
          </w:tcPr>
          <w:p>
            <w:pPr>
              <w:spacing w:before="60" w:after="60"/>
              <w:ind w:right="360"/>
              <w:jc w:val="right"/>
              <w:rPr>
                <w:sz w:val="18"/>
              </w:rPr>
            </w:pPr>
            <w:r>
              <w:rPr>
                <w:sz w:val="18"/>
              </w:rPr>
              <w:t>100,1</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106,7</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99,3</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98,6</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105,2</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spacing w:before="120" w:after="120"/>
              <w:jc w:val="center"/>
              <w:rPr>
                <w:b w:val="1"/>
                <w:sz w:val="16"/>
              </w:rPr>
            </w:pPr>
            <w:r>
              <w:rPr>
                <w:b w:val="1"/>
                <w:sz w:val="16"/>
              </w:rPr>
              <w:t>at constant prices</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spacing w:before="60"/>
              <w:rPr>
                <w:sz w:val="16"/>
              </w:rPr>
            </w:pPr>
            <w:r>
              <w:rPr>
                <w:sz w:val="16"/>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spacing w:before="60" w:after="60"/>
              <w:ind w:right="360"/>
              <w:jc w:val="right"/>
              <w:rPr>
                <w:b w:val="1"/>
                <w:sz w:val="18"/>
              </w:rPr>
            </w:pPr>
            <w:r>
              <w:rPr>
                <w:b w:val="1"/>
                <w:sz w:val="18"/>
              </w:rPr>
              <w:t>88,1</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b w:val="1"/>
                <w:sz w:val="18"/>
              </w:rPr>
            </w:pPr>
            <w:r>
              <w:rPr>
                <w:b w:val="1"/>
                <w:sz w:val="18"/>
              </w:rPr>
              <w:t>111,4</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b w:val="1"/>
                <w:sz w:val="18"/>
              </w:rPr>
            </w:pPr>
            <w:r>
              <w:rPr>
                <w:b w:val="1"/>
                <w:sz w:val="18"/>
              </w:rPr>
              <w:t>93,8</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b w:val="1"/>
                <w:sz w:val="18"/>
              </w:rPr>
            </w:pPr>
            <w:r>
              <w:rPr>
                <w:b w:val="1"/>
                <w:sz w:val="18"/>
              </w:rPr>
              <w:t>89,6</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b w:val="1"/>
                <w:sz w:val="18"/>
              </w:rPr>
            </w:pPr>
            <w:r>
              <w:rPr>
                <w:b w:val="1"/>
                <w:sz w:val="18"/>
              </w:rPr>
              <w:t>99,8</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spacing w:before="60" w:after="60"/>
              <w:rPr>
                <w:sz w:val="16"/>
              </w:rPr>
            </w:pPr>
            <w:r>
              <w:rPr>
                <w:sz w:val="16"/>
              </w:rPr>
              <w:t>Srbija – Sever</w:t>
            </w:r>
          </w:p>
        </w:tc>
        <w:tc>
          <w:tcPr>
            <w:tcW w:w="1493" w:type="dxa"/>
            <w:tcBorders>
              <w:top w:val="none" w:sz="0" w:space="0" w:shadow="0" w:frame="0"/>
              <w:left w:val="single" w:sz="4" w:space="0" w:shadow="0" w:frame="0"/>
              <w:bottom w:val="none" w:sz="0" w:space="0" w:shadow="0" w:frame="0"/>
              <w:right w:val="none" w:sz="0" w:space="0" w:shadow="0" w:frame="0"/>
            </w:tcBorders>
          </w:tcPr>
          <w:p>
            <w:pPr>
              <w:spacing w:before="60" w:after="60"/>
              <w:ind w:right="360"/>
              <w:jc w:val="right"/>
              <w:rPr>
                <w:sz w:val="18"/>
              </w:rPr>
            </w:pPr>
            <w:r>
              <w:rPr>
                <w:sz w:val="18"/>
              </w:rPr>
              <w:t>87,4</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113,5</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95,2</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91,7</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104,0</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spacing w:before="60" w:after="60"/>
              <w:rPr>
                <w:sz w:val="16"/>
              </w:rPr>
            </w:pPr>
            <w:r>
              <w:rPr>
                <w:sz w:val="16"/>
              </w:rPr>
              <w:t xml:space="preserve">     Region Vojvodine </w:t>
            </w:r>
          </w:p>
        </w:tc>
        <w:tc>
          <w:tcPr>
            <w:tcW w:w="1493" w:type="dxa"/>
            <w:tcBorders>
              <w:top w:val="none" w:sz="0" w:space="0" w:shadow="0" w:frame="0"/>
              <w:left w:val="single" w:sz="4" w:space="0" w:shadow="0" w:frame="0"/>
              <w:bottom w:val="none" w:sz="0" w:space="0" w:shadow="0" w:frame="0"/>
              <w:right w:val="none" w:sz="0" w:space="0" w:shadow="0" w:frame="0"/>
            </w:tcBorders>
          </w:tcPr>
          <w:p>
            <w:pPr>
              <w:spacing w:before="60" w:after="60"/>
              <w:ind w:right="360"/>
              <w:jc w:val="right"/>
              <w:rPr>
                <w:sz w:val="18"/>
              </w:rPr>
            </w:pPr>
            <w:r>
              <w:rPr>
                <w:sz w:val="18"/>
              </w:rPr>
              <w:t>87,7</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107,3</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96,5</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94,5</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101,4</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spacing w:before="60" w:after="60"/>
              <w:rPr>
                <w:sz w:val="16"/>
              </w:rPr>
            </w:pPr>
            <w:r>
              <w:rPr>
                <w:sz w:val="16"/>
              </w:rPr>
              <w:t xml:space="preserve"> Srbija – Jug</w:t>
            </w:r>
          </w:p>
        </w:tc>
        <w:tc>
          <w:tcPr>
            <w:tcW w:w="1493" w:type="dxa"/>
            <w:tcBorders>
              <w:top w:val="none" w:sz="0" w:space="0" w:shadow="0" w:frame="0"/>
              <w:left w:val="single" w:sz="4" w:space="0" w:shadow="0" w:frame="0"/>
              <w:bottom w:val="none" w:sz="0" w:space="0" w:shadow="0" w:frame="0"/>
              <w:right w:val="none" w:sz="0" w:space="0" w:shadow="0" w:frame="0"/>
            </w:tcBorders>
          </w:tcPr>
          <w:p>
            <w:pPr>
              <w:spacing w:before="60" w:after="60"/>
              <w:ind w:right="360"/>
              <w:jc w:val="right"/>
              <w:rPr>
                <w:sz w:val="18"/>
              </w:rPr>
            </w:pPr>
            <w:r>
              <w:rPr>
                <w:sz w:val="18"/>
              </w:rPr>
              <w:t>89,5</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107,3</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91,0</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85,7</w:t>
            </w:r>
          </w:p>
        </w:tc>
        <w:tc>
          <w:tcPr>
            <w:tcW w:w="1493" w:type="dxa"/>
            <w:tcBorders>
              <w:top w:val="none" w:sz="0" w:space="0" w:shadow="0" w:frame="0"/>
              <w:left w:val="none" w:sz="0" w:space="0" w:shadow="0" w:frame="0"/>
              <w:bottom w:val="none" w:sz="0" w:space="0" w:shadow="0" w:frame="0"/>
              <w:right w:val="none" w:sz="0" w:space="0" w:shadow="0" w:frame="0"/>
            </w:tcBorders>
          </w:tcPr>
          <w:p>
            <w:pPr>
              <w:spacing w:before="60" w:after="60"/>
              <w:ind w:right="360"/>
              <w:jc w:val="right"/>
              <w:rPr>
                <w:sz w:val="18"/>
              </w:rPr>
            </w:pPr>
            <w:r>
              <w:rPr>
                <w:sz w:val="18"/>
              </w:rPr>
              <w:t>91,9</w:t>
            </w:r>
          </w:p>
        </w:tc>
      </w:tr>
    </w:tbl>
    <w:p>
      <w:pPr>
        <w:pStyle w:val="P27"/>
        <w:spacing w:after="120"/>
      </w:pPr>
    </w:p>
    <w:p>
      <w:pPr>
        <w:pStyle w:val="P12"/>
        <w:spacing w:before="120"/>
        <w:ind w:firstLine="397" w:left="0"/>
        <w:rPr>
          <w:b w:val="1"/>
        </w:rPr>
      </w:pPr>
    </w:p>
    <w:p>
      <w:pPr>
        <w:pStyle w:val="P12"/>
        <w:spacing w:before="120"/>
        <w:ind w:firstLine="397" w:left="0"/>
      </w:pPr>
      <w:r>
        <w:rPr>
          <w:b w:val="1"/>
        </w:rPr>
        <w:t>Methodological notes:</w:t>
      </w:r>
      <w:r>
        <w:t xml:space="preserve"> The indices published in this statistical release are based on the Monthly Survey of Retail Trade. The survey is sample-based, including all large and medium-sized companies (by realized turnover), registered in the division 47 of the Classification of Activities, while small enterprises have been selected by the random sample method. The sample also involves certain number of companies registered in other sections of activities, but performing the retail trade activity. </w:t>
      </w:r>
    </w:p>
    <w:p>
      <w:pPr>
        <w:spacing w:before="120" w:after="120"/>
        <w:ind w:firstLine="397"/>
        <w:jc w:val="both"/>
      </w:pPr>
      <w:r>
        <w:t xml:space="preserve">Starting from 2011, the statistics applies the Classification of activities – CA (“Official Gazette of RS”, No 54/2010). The survey covers division 47 of CA, i.e. retail trade turnover, excluding retail trade turnover of motor vehicles, motorcycles and parts.  </w:t>
      </w:r>
    </w:p>
    <w:p>
      <w:pPr>
        <w:spacing w:before="120" w:after="120"/>
        <w:ind w:firstLine="397"/>
        <w:jc w:val="both"/>
      </w:pPr>
      <w:r>
        <w:t xml:space="preserve">Moreover, the new standard related to statistical data collecting and publishing has been applied since 2011, based on the Nomenclature of Statistical Territorial Units (“Official Gazette of RS”, No 109/09 and 46/10). </w:t>
      </w:r>
    </w:p>
    <w:p>
      <w:pPr>
        <w:spacing w:before="120" w:after="120"/>
        <w:ind w:firstLine="397"/>
        <w:jc w:val="both"/>
      </w:pPr>
      <w:r>
        <w:t xml:space="preserve">The turnover in retail trade includes VAT. </w:t>
      </w:r>
    </w:p>
    <w:p>
      <w:pPr>
        <w:spacing w:before="120" w:after="120"/>
        <w:ind w:firstLine="397"/>
        <w:jc w:val="both"/>
      </w:pPr>
      <w:r>
        <w:t>The turnover indices at constant prices have been obtained by deflating the indices at current prices by the corresponding indices of retail prices, excluding: water (from public utility systems), electricity and motor vehicles, motorcycles and parts.</w:t>
      </w:r>
    </w:p>
    <w:p>
      <w:pPr>
        <w:pStyle w:val="P13"/>
        <w:spacing w:before="120"/>
        <w:ind w:firstLine="397" w:left="0"/>
        <w:rPr>
          <w:sz w:val="20"/>
        </w:rPr>
      </w:pPr>
      <w:r>
        <w:rPr>
          <w:sz w:val="20"/>
        </w:rPr>
        <w:t>All published indices ought to be regarded as preliminary results, meaning that some corrections may appear on the basis of the obtained results in the quarterly statistical survey – the Quarterly Survey of Retail Trade, which are published as a separate release.</w:t>
      </w:r>
    </w:p>
    <w:p>
      <w:pPr>
        <w:pStyle w:val="P13"/>
        <w:spacing w:before="120"/>
        <w:ind w:firstLine="397" w:left="0"/>
        <w:rPr>
          <w:sz w:val="20"/>
        </w:rPr>
      </w:pPr>
      <w:r>
        <w:rPr>
          <w:sz w:val="20"/>
        </w:rPr>
        <w:t>Seasonally adjusted retail trade turnover indices at constant prices are published in “Monthly statistical review”.</w:t>
      </w:r>
    </w:p>
    <w:p>
      <w:pPr>
        <w:pStyle w:val="P17"/>
        <w:ind w:firstLine="397"/>
        <w:rPr>
          <w:color w:val="auto"/>
        </w:rPr>
      </w:pPr>
      <w:r>
        <w:rPr>
          <w:color w:val="auto"/>
        </w:rPr>
        <w:t>Starting from 1999 the Statistical Office of the Republic of Serbia has not at disposal and may not provide available certain data relative to AP Kosovo and Metohia and therefore these data are not included in the coverage for the Republic of Serbia (total).</w:t>
      </w:r>
    </w:p>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60"/>
              <w:jc w:val="center"/>
              <w:rPr>
                <w:sz w:val="4"/>
              </w:rPr>
            </w:pPr>
          </w:p>
          <w:p>
            <w:pPr>
              <w:framePr w:w="0" w:h="0" w:hRule="auto" w:vSpace="0" w:hSpace="0" w:wrap="auto" w:vAnchor="margin" w:hAnchor="text" w:x="0" w:xAlign="left" w:y="0" w:yAlign="inline"/>
              <w:ind w:left="198" w:right="29"/>
              <w:jc w:val="center"/>
              <w:rPr>
                <w:sz w:val="18"/>
              </w:rPr>
            </w:pPr>
            <w:r>
              <w:rPr>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sz w:val="18"/>
              </w:rPr>
            </w:pPr>
            <w:r>
              <w:rPr>
                <w:sz w:val="18"/>
              </w:rPr>
              <w:t xml:space="preserve">Phone: +381 11 2412922 ● Fax: +381 11 2411260 ● www.stat.gov.rs </w:t>
            </w:r>
          </w:p>
          <w:p>
            <w:pPr>
              <w:framePr w:w="0" w:h="0" w:hRule="auto" w:vSpace="0" w:hSpace="0" w:wrap="auto" w:vAnchor="margin" w:hAnchor="text" w:x="0" w:xAlign="left" w:y="0" w:yAlign="inline"/>
              <w:ind w:left="198" w:right="29"/>
              <w:jc w:val="center"/>
              <w:rPr>
                <w:sz w:val="18"/>
              </w:rPr>
            </w:pPr>
            <w:r>
              <w:rPr>
                <w:sz w:val="18"/>
              </w:rPr>
              <w:t>Responsible: Dragan Vukmirovic, PhD, Director</w:t>
              <w:br w:type="textWrapping"/>
              <w:t>Circulation: 20 • Issued monthly</w:t>
            </w:r>
          </w:p>
          <w:p>
            <w:pPr>
              <w:framePr w:w="0" w:h="0" w:hRule="auto" w:vSpace="0" w:hSpace="0" w:wrap="auto" w:vAnchor="margin" w:hAnchor="text" w:x="0" w:xAlign="left" w:y="0" w:yAlign="inline"/>
              <w:spacing w:before="60"/>
              <w:jc w:val="center"/>
              <w:rPr>
                <w:sz w:val="6"/>
              </w:rPr>
            </w:pPr>
          </w:p>
        </w:tc>
      </w:tr>
    </w:tbl>
    <w:p/>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rPr>
        <w:sz w:val="16"/>
      </w:rPr>
    </w:pPr>
    <w:r>
      <w:rPr>
        <w:sz w:val="16"/>
      </w:rPr>
      <w:t>СРБ ??? НР31 ??0311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jc w:val="right"/>
      <w:rPr>
        <w:sz w:val="16"/>
      </w:rPr>
    </w:pPr>
    <w:r>
      <w:rPr>
        <w:sz w:val="16"/>
      </w:rPr>
      <w:t>SERB017 PM10 310113</w:t>
    </w:r>
  </w:p>
</w:ftr>
</file>

<file path=word/numbering.xml><?xml version="1.0" encoding="utf-8"?>
<w:numbering xmlns:w="http://schemas.openxmlformats.org/wordprocessingml/2006/main">
  <w:abstractNum w:abstractNumId="0">
    <w:nsid w:val="11E10CC8"/>
    <w:multiLevelType w:val="hybridMultilevel"/>
    <w:lvl w:ilvl="0" w:tplc="0BC8323F">
      <w:start w:val="0"/>
      <w:numFmt w:val="bullet"/>
      <w:suff w:val="tab"/>
      <w:lvlText w:val="–"/>
      <w:lvlJc w:val="left"/>
      <w:pPr>
        <w:ind w:hanging="360" w:left="720"/>
        <w:tabs>
          <w:tab w:val="left" w:pos="720" w:leader="none"/>
        </w:tabs>
      </w:pPr>
      <w:rPr>
        <w:rFonts w:ascii="Arial" w:hAnsi="Arial"/>
      </w:rPr>
    </w:lvl>
    <w:lvl w:ilvl="1" w:tplc="4B525B64">
      <w:start w:val="1"/>
      <w:numFmt w:val="bullet"/>
      <w:suff w:val="tab"/>
      <w:lvlText w:val="o"/>
      <w:lvlJc w:val="left"/>
      <w:pPr>
        <w:ind w:hanging="360" w:left="1440"/>
        <w:tabs>
          <w:tab w:val="left" w:pos="1440" w:leader="none"/>
        </w:tabs>
      </w:pPr>
      <w:rPr>
        <w:rFonts w:ascii="Courier New" w:hAnsi="Courier New"/>
      </w:rPr>
    </w:lvl>
    <w:lvl w:ilvl="2" w:tplc="535951D4">
      <w:start w:val="1"/>
      <w:numFmt w:val="bullet"/>
      <w:suff w:val="tab"/>
      <w:lvlText w:val=""/>
      <w:lvlJc w:val="left"/>
      <w:pPr>
        <w:ind w:hanging="360" w:left="2160"/>
        <w:tabs>
          <w:tab w:val="left" w:pos="2160" w:leader="none"/>
        </w:tabs>
      </w:pPr>
      <w:rPr>
        <w:rFonts w:ascii="Wingdings" w:hAnsi="Wingdings"/>
      </w:rPr>
    </w:lvl>
    <w:lvl w:ilvl="3" w:tplc="4A0223F3">
      <w:start w:val="1"/>
      <w:numFmt w:val="bullet"/>
      <w:suff w:val="tab"/>
      <w:lvlText w:val=""/>
      <w:lvlJc w:val="left"/>
      <w:pPr>
        <w:ind w:hanging="360" w:left="2880"/>
        <w:tabs>
          <w:tab w:val="left" w:pos="2880" w:leader="none"/>
        </w:tabs>
      </w:pPr>
      <w:rPr>
        <w:rFonts w:ascii="Symbol" w:hAnsi="Symbol"/>
      </w:rPr>
    </w:lvl>
    <w:lvl w:ilvl="4" w:tplc="7AB8D5AF">
      <w:start w:val="1"/>
      <w:numFmt w:val="bullet"/>
      <w:suff w:val="tab"/>
      <w:lvlText w:val="o"/>
      <w:lvlJc w:val="left"/>
      <w:pPr>
        <w:ind w:hanging="360" w:left="3600"/>
        <w:tabs>
          <w:tab w:val="left" w:pos="3600" w:leader="none"/>
        </w:tabs>
      </w:pPr>
      <w:rPr>
        <w:rFonts w:ascii="Courier New" w:hAnsi="Courier New"/>
      </w:rPr>
    </w:lvl>
    <w:lvl w:ilvl="5" w:tplc="302B0BE9">
      <w:start w:val="1"/>
      <w:numFmt w:val="bullet"/>
      <w:suff w:val="tab"/>
      <w:lvlText w:val=""/>
      <w:lvlJc w:val="left"/>
      <w:pPr>
        <w:ind w:hanging="360" w:left="4320"/>
        <w:tabs>
          <w:tab w:val="left" w:pos="4320" w:leader="none"/>
        </w:tabs>
      </w:pPr>
      <w:rPr>
        <w:rFonts w:ascii="Wingdings" w:hAnsi="Wingdings"/>
      </w:rPr>
    </w:lvl>
    <w:lvl w:ilvl="6" w:tplc="5B95C682">
      <w:start w:val="1"/>
      <w:numFmt w:val="bullet"/>
      <w:suff w:val="tab"/>
      <w:lvlText w:val=""/>
      <w:lvlJc w:val="left"/>
      <w:pPr>
        <w:ind w:hanging="360" w:left="5040"/>
        <w:tabs>
          <w:tab w:val="left" w:pos="5040" w:leader="none"/>
        </w:tabs>
      </w:pPr>
      <w:rPr>
        <w:rFonts w:ascii="Symbol" w:hAnsi="Symbol"/>
      </w:rPr>
    </w:lvl>
    <w:lvl w:ilvl="7" w:tplc="66CD7CDA">
      <w:start w:val="1"/>
      <w:numFmt w:val="bullet"/>
      <w:suff w:val="tab"/>
      <w:lvlText w:val="o"/>
      <w:lvlJc w:val="left"/>
      <w:pPr>
        <w:ind w:hanging="360" w:left="5760"/>
        <w:tabs>
          <w:tab w:val="left" w:pos="5760" w:leader="none"/>
        </w:tabs>
      </w:pPr>
      <w:rPr>
        <w:rFonts w:ascii="Courier New" w:hAnsi="Courier New"/>
      </w:rPr>
    </w:lvl>
    <w:lvl w:ilvl="8" w:tplc="1481C908">
      <w:start w:val="1"/>
      <w:numFmt w:val="bullet"/>
      <w:suff w:val="tab"/>
      <w:lvlText w:val=""/>
      <w:lvlJc w:val="left"/>
      <w:pPr>
        <w:ind w:hanging="360" w:left="6480"/>
        <w:tabs>
          <w:tab w:val="left" w:pos="6480" w:leader="none"/>
        </w:tabs>
      </w:pPr>
      <w:rPr>
        <w:rFonts w:ascii="Wingdings" w:hAnsi="Wingdings"/>
      </w:rPr>
    </w:lvl>
  </w:abstractNum>
  <w:abstractNum w:abstractNumId="1">
    <w:nsid w:val="21A3212D"/>
    <w:multiLevelType w:val="hybridMultilevel"/>
    <w:lvl w:ilvl="0" w:tplc="12E2D23E">
      <w:start w:val="0"/>
      <w:numFmt w:val="bullet"/>
      <w:suff w:val="tab"/>
      <w:lvlText w:val="-"/>
      <w:lvlJc w:val="left"/>
      <w:pPr>
        <w:ind w:hanging="360" w:left="720"/>
        <w:tabs>
          <w:tab w:val="left" w:pos="720" w:leader="none"/>
        </w:tabs>
      </w:pPr>
      <w:rPr>
        <w:rFonts w:ascii="Arial" w:hAnsi="Arial"/>
      </w:rPr>
    </w:lvl>
    <w:lvl w:ilvl="1" w:tplc="2115CCBD">
      <w:start w:val="1"/>
      <w:numFmt w:val="bullet"/>
      <w:suff w:val="tab"/>
      <w:lvlText w:val="o"/>
      <w:lvlJc w:val="left"/>
      <w:pPr>
        <w:ind w:hanging="360" w:left="1440"/>
        <w:tabs>
          <w:tab w:val="left" w:pos="1440" w:leader="none"/>
        </w:tabs>
      </w:pPr>
      <w:rPr>
        <w:rFonts w:ascii="Courier New" w:hAnsi="Courier New"/>
      </w:rPr>
    </w:lvl>
    <w:lvl w:ilvl="2" w:tplc="05800ED1">
      <w:start w:val="1"/>
      <w:numFmt w:val="bullet"/>
      <w:suff w:val="tab"/>
      <w:lvlText w:val=""/>
      <w:lvlJc w:val="left"/>
      <w:pPr>
        <w:ind w:hanging="360" w:left="2160"/>
        <w:tabs>
          <w:tab w:val="left" w:pos="2160" w:leader="none"/>
        </w:tabs>
      </w:pPr>
      <w:rPr>
        <w:rFonts w:ascii="Wingdings" w:hAnsi="Wingdings"/>
      </w:rPr>
    </w:lvl>
    <w:lvl w:ilvl="3" w:tplc="3213888F">
      <w:start w:val="1"/>
      <w:numFmt w:val="bullet"/>
      <w:suff w:val="tab"/>
      <w:lvlText w:val=""/>
      <w:lvlJc w:val="left"/>
      <w:pPr>
        <w:ind w:hanging="360" w:left="2880"/>
        <w:tabs>
          <w:tab w:val="left" w:pos="2880" w:leader="none"/>
        </w:tabs>
      </w:pPr>
      <w:rPr>
        <w:rFonts w:ascii="Symbol" w:hAnsi="Symbol"/>
      </w:rPr>
    </w:lvl>
    <w:lvl w:ilvl="4" w:tplc="1856BAF5">
      <w:start w:val="1"/>
      <w:numFmt w:val="bullet"/>
      <w:suff w:val="tab"/>
      <w:lvlText w:val="o"/>
      <w:lvlJc w:val="left"/>
      <w:pPr>
        <w:ind w:hanging="360" w:left="3600"/>
        <w:tabs>
          <w:tab w:val="left" w:pos="3600" w:leader="none"/>
        </w:tabs>
      </w:pPr>
      <w:rPr>
        <w:rFonts w:ascii="Courier New" w:hAnsi="Courier New"/>
      </w:rPr>
    </w:lvl>
    <w:lvl w:ilvl="5" w:tplc="1D813FA9">
      <w:start w:val="1"/>
      <w:numFmt w:val="bullet"/>
      <w:suff w:val="tab"/>
      <w:lvlText w:val=""/>
      <w:lvlJc w:val="left"/>
      <w:pPr>
        <w:ind w:hanging="360" w:left="4320"/>
        <w:tabs>
          <w:tab w:val="left" w:pos="4320" w:leader="none"/>
        </w:tabs>
      </w:pPr>
      <w:rPr>
        <w:rFonts w:ascii="Wingdings" w:hAnsi="Wingdings"/>
      </w:rPr>
    </w:lvl>
    <w:lvl w:ilvl="6" w:tplc="5796D5F4">
      <w:start w:val="1"/>
      <w:numFmt w:val="bullet"/>
      <w:suff w:val="tab"/>
      <w:lvlText w:val=""/>
      <w:lvlJc w:val="left"/>
      <w:pPr>
        <w:ind w:hanging="360" w:left="5040"/>
        <w:tabs>
          <w:tab w:val="left" w:pos="5040" w:leader="none"/>
        </w:tabs>
      </w:pPr>
      <w:rPr>
        <w:rFonts w:ascii="Symbol" w:hAnsi="Symbol"/>
      </w:rPr>
    </w:lvl>
    <w:lvl w:ilvl="7" w:tplc="7434C49F">
      <w:start w:val="1"/>
      <w:numFmt w:val="bullet"/>
      <w:suff w:val="tab"/>
      <w:lvlText w:val="o"/>
      <w:lvlJc w:val="left"/>
      <w:pPr>
        <w:ind w:hanging="360" w:left="5760"/>
        <w:tabs>
          <w:tab w:val="left" w:pos="5760" w:leader="none"/>
        </w:tabs>
      </w:pPr>
      <w:rPr>
        <w:rFonts w:ascii="Courier New" w:hAnsi="Courier New"/>
      </w:rPr>
    </w:lvl>
    <w:lvl w:ilvl="8" w:tplc="01CC0406">
      <w:start w:val="1"/>
      <w:numFmt w:val="bullet"/>
      <w:suff w:val="tab"/>
      <w:lvlText w:val=""/>
      <w:lvlJc w:val="left"/>
      <w:pPr>
        <w:ind w:hanging="360" w:left="6480"/>
        <w:tabs>
          <w:tab w:val="left" w:pos="6480" w:leader="none"/>
        </w:tabs>
      </w:pPr>
      <w:rPr>
        <w:rFonts w:ascii="Wingdings" w:hAnsi="Wingdings"/>
      </w:rPr>
    </w:lvl>
  </w:abstractNum>
  <w:abstractNum w:abstractNumId="2">
    <w:nsid w:val="2269407F"/>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
    <w:nsid w:val="2B9E0998"/>
    <w:multiLevelType w:val="multilevel"/>
    <w:lvl w:ilvl="0">
      <w:start w:val="1"/>
      <w:numFmt w:val="decimal"/>
      <w:suff w:val="tab"/>
      <w:lvlText w:val="%1)"/>
      <w:lvlJc w:val="left"/>
      <w:pPr>
        <w:ind w:hanging="990" w:left="1710"/>
        <w:tabs>
          <w:tab w:val="left" w:pos="17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
    <w:nsid w:val="580575C8"/>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5">
    <w:nsid w:val="6B666B95"/>
    <w:multiLevelType w:val="hybridMultilevel"/>
    <w:lvl w:ilvl="0" w:tplc="0A5385D1">
      <w:start w:val="0"/>
      <w:numFmt w:val="bullet"/>
      <w:suff w:val="tab"/>
      <w:lvlText w:val="-"/>
      <w:lvlJc w:val="left"/>
      <w:pPr>
        <w:ind w:hanging="360" w:left="720"/>
        <w:tabs>
          <w:tab w:val="left" w:pos="720" w:leader="none"/>
        </w:tabs>
      </w:pPr>
      <w:rPr>
        <w:rFonts w:ascii="Times New Roman" w:hAnsi="Times New Roman"/>
      </w:rPr>
    </w:lvl>
    <w:lvl w:ilvl="1" w:tplc="5C929CE5">
      <w:start w:val="1"/>
      <w:numFmt w:val="bullet"/>
      <w:suff w:val="tab"/>
      <w:lvlText w:val="o"/>
      <w:lvlJc w:val="left"/>
      <w:pPr>
        <w:ind w:hanging="360" w:left="1440"/>
        <w:tabs>
          <w:tab w:val="left" w:pos="1440" w:leader="none"/>
        </w:tabs>
      </w:pPr>
      <w:rPr>
        <w:rFonts w:ascii="Courier New" w:hAnsi="Courier New"/>
      </w:rPr>
    </w:lvl>
    <w:lvl w:ilvl="2" w:tplc="0883358B">
      <w:start w:val="1"/>
      <w:numFmt w:val="bullet"/>
      <w:suff w:val="tab"/>
      <w:lvlText w:val=""/>
      <w:lvlJc w:val="left"/>
      <w:pPr>
        <w:ind w:hanging="360" w:left="2160"/>
        <w:tabs>
          <w:tab w:val="left" w:pos="2160" w:leader="none"/>
        </w:tabs>
      </w:pPr>
      <w:rPr>
        <w:rFonts w:ascii="Wingdings" w:hAnsi="Wingdings"/>
      </w:rPr>
    </w:lvl>
    <w:lvl w:ilvl="3" w:tplc="246964CF">
      <w:start w:val="1"/>
      <w:numFmt w:val="bullet"/>
      <w:suff w:val="tab"/>
      <w:lvlText w:val=""/>
      <w:lvlJc w:val="left"/>
      <w:pPr>
        <w:ind w:hanging="360" w:left="2880"/>
        <w:tabs>
          <w:tab w:val="left" w:pos="2880" w:leader="none"/>
        </w:tabs>
      </w:pPr>
      <w:rPr>
        <w:rFonts w:ascii="Symbol" w:hAnsi="Symbol"/>
      </w:rPr>
    </w:lvl>
    <w:lvl w:ilvl="4" w:tplc="25FD8EC8">
      <w:start w:val="1"/>
      <w:numFmt w:val="bullet"/>
      <w:suff w:val="tab"/>
      <w:lvlText w:val="o"/>
      <w:lvlJc w:val="left"/>
      <w:pPr>
        <w:ind w:hanging="360" w:left="3600"/>
        <w:tabs>
          <w:tab w:val="left" w:pos="3600" w:leader="none"/>
        </w:tabs>
      </w:pPr>
      <w:rPr>
        <w:rFonts w:ascii="Courier New" w:hAnsi="Courier New"/>
      </w:rPr>
    </w:lvl>
    <w:lvl w:ilvl="5" w:tplc="504E3B6C">
      <w:start w:val="1"/>
      <w:numFmt w:val="bullet"/>
      <w:suff w:val="tab"/>
      <w:lvlText w:val=""/>
      <w:lvlJc w:val="left"/>
      <w:pPr>
        <w:ind w:hanging="360" w:left="4320"/>
        <w:tabs>
          <w:tab w:val="left" w:pos="4320" w:leader="none"/>
        </w:tabs>
      </w:pPr>
      <w:rPr>
        <w:rFonts w:ascii="Wingdings" w:hAnsi="Wingdings"/>
      </w:rPr>
    </w:lvl>
    <w:lvl w:ilvl="6" w:tplc="4E91EB07">
      <w:start w:val="1"/>
      <w:numFmt w:val="bullet"/>
      <w:suff w:val="tab"/>
      <w:lvlText w:val=""/>
      <w:lvlJc w:val="left"/>
      <w:pPr>
        <w:ind w:hanging="360" w:left="5040"/>
        <w:tabs>
          <w:tab w:val="left" w:pos="5040" w:leader="none"/>
        </w:tabs>
      </w:pPr>
      <w:rPr>
        <w:rFonts w:ascii="Symbol" w:hAnsi="Symbol"/>
      </w:rPr>
    </w:lvl>
    <w:lvl w:ilvl="7" w:tplc="560D98E7">
      <w:start w:val="1"/>
      <w:numFmt w:val="bullet"/>
      <w:suff w:val="tab"/>
      <w:lvlText w:val="o"/>
      <w:lvlJc w:val="left"/>
      <w:pPr>
        <w:ind w:hanging="360" w:left="5760"/>
        <w:tabs>
          <w:tab w:val="left" w:pos="5760" w:leader="none"/>
        </w:tabs>
      </w:pPr>
      <w:rPr>
        <w:rFonts w:ascii="Courier New" w:hAnsi="Courier New"/>
      </w:rPr>
    </w:lvl>
    <w:lvl w:ilvl="8" w:tplc="4D82650A">
      <w:start w:val="1"/>
      <w:numFmt w:val="bullet"/>
      <w:suff w:val="tab"/>
      <w:lvlText w:val=""/>
      <w:lvlJc w:val="left"/>
      <w:pPr>
        <w:ind w:hanging="360" w:left="6480"/>
        <w:tabs>
          <w:tab w:val="left" w:pos="6480" w:leader="none"/>
        </w:tabs>
      </w:pPr>
      <w:rPr>
        <w:rFonts w:ascii="Wingdings" w:hAnsi="Wingdings"/>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paragraph" w:styleId="P21">
    <w:name w:val="Podnaslov sopstenja"/>
    <w:basedOn w:val="P0"/>
    <w:next w:val="P21"/>
    <w:pPr>
      <w:spacing w:after="120"/>
      <w:jc w:val="center"/>
    </w:pPr>
    <w:rPr>
      <w:b w:val="1"/>
      <w:sz w:val="22"/>
    </w:rPr>
  </w:style>
  <w:style w:type="paragraph" w:styleId="P22">
    <w:name w:val="Title"/>
    <w:basedOn w:val="P0"/>
    <w:next w:val="P22"/>
    <w:pPr>
      <w:spacing w:before="240" w:after="60"/>
      <w:jc w:val="center"/>
      <w:outlineLvl w:val="0"/>
    </w:pPr>
    <w:rPr>
      <w:b w:val="1"/>
      <w:sz w:val="32"/>
    </w:rPr>
  </w:style>
  <w:style w:type="paragraph" w:styleId="P23">
    <w:name w:val="Caption"/>
    <w:basedOn w:val="P0"/>
    <w:next w:val="P0"/>
    <w:pPr/>
    <w:rPr>
      <w:b w:val="1"/>
    </w:rPr>
  </w:style>
  <w:style w:type="paragraph" w:styleId="P24">
    <w:name w:val="Char Char Char2 Char"/>
    <w:basedOn w:val="P0"/>
    <w:next w:val="P24"/>
    <w:pPr>
      <w:spacing w:lineRule="exact" w:line="240" w:after="160"/>
    </w:pPr>
    <w:rPr>
      <w:rFonts w:ascii="Tahoma" w:hAnsi="Tahoma"/>
    </w:rPr>
  </w:style>
  <w:style w:type="paragraph" w:styleId="P25">
    <w:name w:val="Body Text First Indent"/>
    <w:basedOn w:val="P17"/>
    <w:next w:val="P25"/>
    <w:pPr>
      <w:spacing w:after="120"/>
      <w:ind w:firstLine="210"/>
      <w:jc w:val="left"/>
    </w:pPr>
    <w:rPr>
      <w:color w:val="auto"/>
    </w:rPr>
  </w:style>
  <w:style w:type="paragraph" w:styleId="P26">
    <w:name w:val="Naslov saopstenja"/>
    <w:basedOn w:val="P22"/>
    <w:next w:val="P23"/>
    <w:pPr>
      <w:spacing w:after="0"/>
    </w:pPr>
    <w:rPr>
      <w:sz w:val="24"/>
    </w:rPr>
  </w:style>
  <w:style w:type="paragraph" w:styleId="P27">
    <w:name w:val="Tekst Metodologija i Napomena"/>
    <w:basedOn w:val="P25"/>
    <w:next w:val="P17"/>
    <w:pPr>
      <w:spacing w:before="120" w:after="0"/>
      <w:ind w:firstLine="397"/>
      <w:jc w:val="both"/>
    </w:pPr>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2013-01-31T09:27:00Z</dcterms:created>
  <cp:lastModifiedBy>Nikola Kapetanovic</cp:lastModifiedBy>
  <cp:lastPrinted>2013-01-08T11:38:00Z</cp:lastPrinted>
  <dcterms:modified xsi:type="dcterms:W3CDTF">2020-01-10T11:42:29Z</dcterms:modified>
  <cp:revision>8</cp:revision>
  <dc:title>Промет робе у трговини на мало у Републици Србији, јануар 2003</dc:title>
</cp:coreProperties>
</file>