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C6C2EE" Type="http://schemas.openxmlformats.org/officeDocument/2006/relationships/officeDocument" Target="/word/document.xml" /><Relationship Id="coreR74C6C2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Republic of Serbia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Statistical Office of the Republic of Serbia</w:t>
            </w:r>
          </w:p>
        </w:tc>
        <w:tc>
          <w:tcPr>
            <w:tcW w:w="3005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0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0"/>
                <w:color w:val="808080"/>
              </w:rPr>
            </w:pPr>
          </w:p>
        </w:tc>
        <w:tc>
          <w:tcPr>
            <w:tcW w:w="5387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0"/>
                <w:color w:val="808080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0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STATISTICAL RELEASE</w:t>
            </w:r>
          </w:p>
        </w:tc>
        <w:tc>
          <w:tcPr>
            <w:tcW w:w="3005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0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RG</w:t>
            </w:r>
            <w:r>
              <w:rPr>
                <w:rFonts w:ascii="Arial" w:hAnsi="Arial"/>
                <w:b w:val="1"/>
                <w:color w:val="808080"/>
                <w:sz w:val="48"/>
              </w:rPr>
              <w:t>10</w:t>
            </w:r>
          </w:p>
        </w:tc>
      </w:tr>
      <w:tr>
        <w:trPr>
          <w:wAfter w:w="0" w:type="dxa"/>
          <w:trHeight w:hRule="exact" w:val="28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010 – Year LXIII, 21.01.2013</w:t>
            </w:r>
          </w:p>
        </w:tc>
        <w:tc>
          <w:tcPr>
            <w:tcW w:w="3005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0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>Register of spatial units and GIS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0"/>
              </w:rPr>
            </w:pPr>
            <w:r>
              <w:rPr>
                <w:b w:val="0"/>
                <w:sz w:val="20"/>
              </w:rPr>
              <w:t>SERB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RG</w:t>
            </w:r>
            <w:r>
              <w:rPr>
                <w:b w:val="0"/>
                <w:sz w:val="20"/>
              </w:rPr>
              <w:t xml:space="preserve">10 </w:t>
            </w:r>
            <w:r>
              <w:rPr>
                <w:b w:val="0"/>
                <w:sz w:val="20"/>
              </w:rPr>
              <w:t>210113</w:t>
            </w:r>
          </w:p>
        </w:tc>
      </w:tr>
    </w:tbl>
    <w:p>
      <w:pPr>
        <w:jc w:val="center"/>
        <w:rPr>
          <w:rFonts w:ascii="Arial" w:hAnsi="Arial"/>
          <w:sz w:val="10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ind w:left="360"/>
        <w:jc w:val="center"/>
        <w:rPr>
          <w:rFonts w:ascii="Arial" w:hAnsi="Arial"/>
          <w:b w:val="0"/>
        </w:rPr>
      </w:pPr>
      <w:r>
        <w:rPr>
          <w:rFonts w:ascii="Arial" w:hAnsi="Arial"/>
          <w:b w:val="1"/>
        </w:rPr>
        <w:t>Changes in settlements and municipalities in the Republic of Serbia</w:t>
      </w:r>
      <w:r>
        <w:rPr>
          <w:rFonts w:ascii="Arial" w:hAnsi="Arial"/>
          <w:b w:val="1"/>
        </w:rPr>
        <w:t>, 2012</w:t>
      </w:r>
    </w:p>
    <w:p>
      <w:pPr>
        <w:spacing w:before="60" w:after="60"/>
        <w:jc w:val="center"/>
        <w:rPr>
          <w:rFonts w:ascii="Arial" w:hAnsi="Arial"/>
          <w:b w:val="0"/>
          <w:sz w:val="20"/>
        </w:rPr>
      </w:pPr>
    </w:p>
    <w:p>
      <w:pPr>
        <w:spacing w:before="60" w:after="6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1"/>
          <w:sz w:val="20"/>
        </w:rPr>
        <w:t>– As of 01.01.2013 –</w:t>
      </w:r>
    </w:p>
    <w:p>
      <w:pPr>
        <w:ind w:left="360"/>
        <w:jc w:val="center"/>
        <w:rPr>
          <w:rFonts w:ascii="Arial" w:hAnsi="Arial"/>
          <w:b w:val="0"/>
          <w:sz w:val="16"/>
        </w:rPr>
      </w:pPr>
    </w:p>
    <w:tbl>
      <w:tblPr>
        <w:tblStyle w:val="T2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5240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 of January 1</w:t>
            </w:r>
            <w:r>
              <w:rPr>
                <w:rFonts w:ascii="Arial" w:hAnsi="Arial"/>
                <w:sz w:val="16"/>
                <w:vertAlign w:val="superscript"/>
              </w:rPr>
              <w:t>st</w:t>
            </w:r>
            <w:r>
              <w:rPr>
                <w:rFonts w:ascii="Arial" w:hAnsi="Arial"/>
                <w:sz w:val="16"/>
              </w:rPr>
              <w:t>, 2012</w:t>
            </w:r>
          </w:p>
        </w:tc>
        <w:tc>
          <w:tcPr>
            <w:tcW w:w="490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 of January 1</w:t>
            </w:r>
            <w:r>
              <w:rPr>
                <w:rFonts w:ascii="Arial" w:hAnsi="Arial"/>
                <w:sz w:val="16"/>
                <w:vertAlign w:val="superscript"/>
              </w:rPr>
              <w:t>st</w:t>
            </w:r>
            <w:r>
              <w:rPr>
                <w:rFonts w:ascii="Arial" w:hAnsi="Arial"/>
                <w:sz w:val="16"/>
              </w:rPr>
              <w:t>, 2013</w:t>
            </w:r>
          </w:p>
        </w:tc>
      </w:tr>
      <w:tr>
        <w:trPr>
          <w:wAfter w:w="0" w:type="dxa"/>
          <w:trHeight w:hRule="atLeast" w:val="20"/>
        </w:trPr>
        <w:tc>
          <w:tcPr>
            <w:tcW w:w="376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city/city municipality/municipality/ settlement</w:t>
            </w:r>
          </w:p>
        </w:tc>
        <w:tc>
          <w:tcPr>
            <w:tcW w:w="14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Code number of city/ city municipality/ municipality/  settlement</w:t>
            </w:r>
          </w:p>
        </w:tc>
        <w:tc>
          <w:tcPr>
            <w:tcW w:w="34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city/city municipality/municipality/ settlement</w:t>
            </w:r>
          </w:p>
        </w:tc>
        <w:tc>
          <w:tcPr>
            <w:tcW w:w="14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Code number of city/ city municipality/ municipality/  settlement</w:t>
            </w:r>
          </w:p>
        </w:tc>
      </w:tr>
      <w:tr>
        <w:trPr>
          <w:wAfter w:w="0" w:type="dxa"/>
          <w:trHeight w:hRule="atLeast" w:val="20"/>
        </w:trPr>
        <w:tc>
          <w:tcPr>
            <w:tcW w:w="10149" w:type="dxa"/>
            <w:gridSpan w:val="4"/>
            <w:tcBorders>
              <w:top w:val="single" w:sz="4" w:space="0" w:shadow="0" w:frame="0"/>
            </w:tcBorders>
          </w:tcPr>
          <w:p>
            <w:pPr>
              <w:spacing w:before="240" w:after="240"/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Republic of Serbia – Central Serbia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spacing w:after="12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</w:t>
            </w:r>
            <w:r>
              <w:rPr>
                <w:rFonts w:ascii="Arial" w:hAnsi="Arial"/>
                <w:b w:val="1"/>
                <w:sz w:val="16"/>
              </w:rPr>
              <w:t>City of Vranje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spacing w:after="12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</w:t>
            </w:r>
            <w:r>
              <w:rPr>
                <w:rFonts w:ascii="Arial" w:hAnsi="Arial"/>
                <w:b w:val="1"/>
                <w:sz w:val="16"/>
              </w:rPr>
              <w:t xml:space="preserve">     79057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spacing w:after="12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</w:t>
            </w:r>
            <w:r>
              <w:rPr>
                <w:rFonts w:ascii="Arial" w:hAnsi="Arial"/>
                <w:b w:val="1"/>
                <w:sz w:val="16"/>
              </w:rPr>
              <w:t xml:space="preserve">  </w:t>
            </w:r>
            <w:r>
              <w:rPr>
                <w:rFonts w:ascii="Arial" w:hAnsi="Arial"/>
                <w:b w:val="1"/>
                <w:sz w:val="16"/>
              </w:rPr>
              <w:t>City of Vranje</w:t>
            </w:r>
          </w:p>
        </w:tc>
        <w:tc>
          <w:tcPr>
            <w:tcW w:w="1472" w:type="dxa"/>
            <w:vAlign w:val="center"/>
          </w:tcPr>
          <w:p>
            <w:pPr>
              <w:spacing w:after="12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79057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Vranje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70432 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Vranje</w:t>
            </w:r>
          </w:p>
        </w:tc>
        <w:tc>
          <w:tcPr>
            <w:tcW w:w="1472" w:type="dxa"/>
            <w:vAlign w:val="center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70432 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t>Gornje Punoševce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711373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t>Gornje Punuševce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472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711373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Donje Punoševce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711462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Donje Punuševce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472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711462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t xml:space="preserve"> Klašnjice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711608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t xml:space="preserve"> Klašnice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472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711608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t>Ostra Glava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711896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t>Oštra Glava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472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711896</w:t>
            </w:r>
          </w:p>
        </w:tc>
      </w:tr>
    </w:tbl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Helvetica" w:hAnsi="Helvetica"/>
          <w:b w:val="0"/>
          <w:sz w:val="14"/>
          <w:vertAlign w:val="superscript"/>
        </w:rPr>
      </w:pPr>
      <w:r>
        <w:rPr>
          <w:rFonts w:ascii="Arial" w:hAnsi="Arial"/>
          <w:b w:val="1"/>
          <w:sz w:val="16"/>
          <w:vertAlign w:val="superscript"/>
        </w:rPr>
        <w:t>1</w:t>
      </w:r>
      <w:r>
        <w:rPr>
          <w:rFonts w:ascii="Arial" w:hAnsi="Arial"/>
          <w:b w:val="1"/>
          <w:sz w:val="16"/>
          <w:vertAlign w:val="superscript"/>
        </w:rPr>
        <w:t>)</w:t>
      </w:r>
      <w:r>
        <w:rPr>
          <w:rFonts w:ascii="Arial" w:hAnsi="Arial"/>
          <w:sz w:val="16"/>
          <w:vertAlign w:val="superscript"/>
        </w:rPr>
        <w:t xml:space="preserve"> </w:t>
      </w:r>
      <w:r>
        <w:rPr>
          <w:rFonts w:ascii="Arial" w:hAnsi="Arial"/>
          <w:sz w:val="16"/>
        </w:rPr>
        <w:t xml:space="preserve">   Changes in names of settlements in city municipality of Vranje, Statute of Vranje („Official Gazette of the City of Vranje“, no. 25/12). </w:t>
      </w:r>
    </w:p>
    <w:p>
      <w:pPr>
        <w:rPr>
          <w:rFonts w:ascii="Arial" w:hAnsi="Arial"/>
          <w:b w:val="0"/>
          <w:sz w:val="14"/>
          <w:vertAlign w:val="superscript"/>
        </w:rPr>
      </w:pPr>
      <w:r>
        <w:rPr>
          <w:rFonts w:ascii="Helvetica" w:hAnsi="Helvetica"/>
          <w:sz w:val="16"/>
        </w:rPr>
        <w:t xml:space="preserve">      03.08.2012</w:t>
      </w: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6"/>
        </w:rPr>
      </w:pPr>
    </w:p>
    <w:p>
      <w:pPr>
        <w:rPr>
          <w:rFonts w:ascii="Arial" w:hAnsi="Arial"/>
          <w:b w:val="0"/>
          <w:sz w:val="16"/>
        </w:rPr>
      </w:pPr>
    </w:p>
    <w:p>
      <w:pPr>
        <w:rPr>
          <w:rFonts w:ascii="Arial" w:hAnsi="Arial"/>
          <w:b w:val="0"/>
          <w:sz w:val="16"/>
        </w:rPr>
      </w:pPr>
    </w:p>
    <w:p>
      <w:pPr>
        <w:rPr>
          <w:rFonts w:ascii="Arial" w:hAnsi="Arial"/>
          <w:b w:val="0"/>
          <w:sz w:val="16"/>
        </w:rPr>
      </w:pPr>
    </w:p>
    <w:p>
      <w:pPr>
        <w:tabs>
          <w:tab w:val="left" w:pos="2715" w:leader="none"/>
        </w:tabs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Note</w:t>
      </w:r>
      <w:r>
        <w:rPr>
          <w:rFonts w:ascii="Arial" w:hAnsi="Arial"/>
          <w:sz w:val="18"/>
        </w:rPr>
        <w:t>: There were no other changes in settlements and municipalities in the Republic of Serbia.</w:t>
      </w: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tbl>
      <w:tblPr>
        <w:tblStyle w:val="T3"/>
        <w:tblW w:w="0" w:type="auto"/>
        <w:jc w:val="center"/>
        <w:tblInd w:w="0" w:type="dxa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  <w:tcBorders>
              <w:bottom w:val="single" w:sz="4" w:space="0" w:shadow="0" w:frame="0" w:color="808080"/>
            </w:tcBorders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Published and printed by: Statistical Office of the Republic of Serbia, Belgrade, Milana Rakica 5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Phone: +381 11 2412922 ● Fax: +381 11 2411260 ● www.stat.gov.rs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Responsible: Dragan Vukmirovic, PhD, Director</w:t>
      </w:r>
    </w:p>
    <w:p>
      <w:pPr>
        <w:ind w:left="198" w:right="29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Circulation: 20 ● Issued annually</w:t>
      </w:r>
    </w:p>
    <w:p>
      <w:pPr>
        <w:jc w:val="center"/>
        <w:rPr>
          <w:rFonts w:ascii="Arial" w:hAnsi="Arial"/>
          <w:sz w:val="6"/>
        </w:rPr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continuous"/>
      <w:pgSz w:w="11907" w:h="16840" w:code="0"/>
      <w:pgMar w:left="907" w:right="907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ind w:firstLine="360"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vAnchor="text" w:hAnchor="margin" w:x="-16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14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ind w:firstLine="360" w:right="360"/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>СРБ 101 СУ10 150409</w:t>
    </w:r>
    <w:r>
      <w:rPr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tab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vAnchor="text" w:hAnchor="page" w:x="884" w:y="-3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СРБ009 ПС10 150113</w:t>
    </w: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49322F7"/>
    <w:multiLevelType w:val="hybridMultilevel"/>
    <w:lvl w:ilvl="0" w:tplc="0516B13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28891650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354D54B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DF931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24ECB7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BC4E4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7D3D5A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34F1D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8757E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9EE321F"/>
    <w:multiLevelType w:val="hybridMultilevel"/>
    <w:lvl w:ilvl="0" w:tplc="31C3AFC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E9A8F5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CD8698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802F20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B20810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748735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2D96B7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661F35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CB0E87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3CC340A6"/>
    <w:multiLevelType w:val="hybridMultilevel"/>
    <w:lvl w:ilvl="0" w:tplc="160F170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3A4DCE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516E7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04439E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96A26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6758DC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F69AC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C5E546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B7F58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7321B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56C16706"/>
    <w:multiLevelType w:val="hybridMultilevel"/>
    <w:lvl w:ilvl="0" w:tplc="548789A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7607D2A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1E16D0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53112D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6175AC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6F05B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205644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AD2469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8B6884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6B9800B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E571AD5"/>
    <w:multiLevelType w:val="hybridMultilevel"/>
    <w:lvl w:ilvl="0" w:tplc="7CCBD29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8DF8F5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A4185D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AF90F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11F266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042207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7D70B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B104F8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731A8E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Heading 9"/>
    <w:basedOn w:val="P0"/>
    <w:next w:val="P0"/>
    <w:pPr>
      <w:keepNext w:val="1"/>
      <w:spacing w:before="120" w:after="120"/>
      <w:jc w:val="center"/>
      <w:outlineLvl w:val="8"/>
    </w:pPr>
    <w:rPr>
      <w:rFonts w:ascii="Arial" w:hAnsi="Arial"/>
      <w:b w:val="1"/>
      <w:sz w:val="18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Head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"/>
    <w:basedOn w:val="P0"/>
    <w:next w:val="P13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4">
    <w:name w:val="Footer"/>
    <w:basedOn w:val="P0"/>
    <w:next w:val="P14"/>
    <w:pPr>
      <w:tabs>
        <w:tab w:val="center" w:pos="4320" w:leader="none"/>
        <w:tab w:val="right" w:pos="8640" w:leader="none"/>
      </w:tabs>
    </w:pPr>
    <w:rPr/>
  </w:style>
  <w:style w:type="paragraph" w:styleId="P15">
    <w:name w:val="Body Text 2"/>
    <w:basedOn w:val="P0"/>
    <w:next w:val="P15"/>
    <w:pPr>
      <w:tabs>
        <w:tab w:val="left" w:pos="142" w:leader="none"/>
      </w:tabs>
      <w:jc w:val="both"/>
    </w:pPr>
    <w:rPr>
      <w:rFonts w:ascii="Arial" w:hAnsi="Arial"/>
    </w:rPr>
  </w:style>
  <w:style w:type="paragraph" w:styleId="P16">
    <w:name w:val="Body Text 3"/>
    <w:basedOn w:val="P0"/>
    <w:next w:val="P16"/>
    <w:pPr>
      <w:jc w:val="center"/>
    </w:pPr>
    <w:rPr>
      <w:rFonts w:ascii="Arial" w:hAnsi="Arial"/>
      <w:sz w:val="16"/>
    </w:rPr>
  </w:style>
  <w:style w:type="paragraph" w:styleId="P17">
    <w:name w:val="Paragraph Numbering"/>
    <w:basedOn w:val="P0"/>
    <w:next w:val="P17"/>
    <w:pPr>
      <w:numPr>
        <w:numId w:val="4"/>
      </w:numPr>
      <w:tabs>
        <w:tab w:val="clear" w:pos="360" w:leader="none"/>
        <w:tab w:val="left" w:pos="720" w:leader="none"/>
      </w:tabs>
      <w:spacing w:after="240"/>
    </w:pPr>
    <w:rPr/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Body Text Indent"/>
    <w:basedOn w:val="P0"/>
    <w:next w:val="P19"/>
    <w:pPr>
      <w:ind w:firstLine="720"/>
    </w:pPr>
    <w:rPr>
      <w:rFonts w:ascii="Arial" w:hAnsi="Arial"/>
      <w:sz w:val="20"/>
    </w:rPr>
  </w:style>
  <w:style w:type="paragraph" w:styleId="P20">
    <w:name w:val="Char Char Char Char Char1 Char"/>
    <w:basedOn w:val="P0"/>
    <w:next w:val="P20"/>
    <w:link w:val="C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1">
    <w:name w:val="Comment Text"/>
    <w:basedOn w:val="P0"/>
    <w:next w:val="P21"/>
    <w:pPr/>
    <w:rPr>
      <w:sz w:val="20"/>
    </w:rPr>
  </w:style>
  <w:style w:type="paragraph" w:styleId="P22">
    <w:name w:val="Car Car"/>
    <w:basedOn w:val="P0"/>
    <w:next w:val="P22"/>
    <w:pPr>
      <w:spacing w:lineRule="exact" w:line="240" w:after="160"/>
    </w:pPr>
    <w:rPr>
      <w:rFonts w:ascii="Verdana" w:hAnsi="Verdana"/>
      <w:i w:val="1"/>
      <w:sz w:val="20"/>
    </w:rPr>
  </w:style>
  <w:style w:type="paragraph" w:styleId="P23">
    <w:name w:val="Podnaslov sopstenja"/>
    <w:basedOn w:val="P0"/>
    <w:next w:val="P23"/>
    <w:pPr>
      <w:spacing w:after="120"/>
      <w:jc w:val="center"/>
    </w:pPr>
    <w:rPr>
      <w:rFonts w:ascii="Arial" w:hAnsi="Arial"/>
      <w:b w:val="1"/>
      <w:sz w:val="22"/>
    </w:rPr>
  </w:style>
  <w:style w:type="paragraph" w:styleId="P24">
    <w:name w:val="Title"/>
    <w:basedOn w:val="P0"/>
    <w:next w:val="P24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5">
    <w:name w:val="Caption"/>
    <w:basedOn w:val="P0"/>
    <w:next w:val="P0"/>
    <w:pPr/>
    <w:rPr>
      <w:b w:val="1"/>
      <w:sz w:val="20"/>
    </w:rPr>
  </w:style>
  <w:style w:type="paragraph" w:styleId="P26">
    <w:name w:val="Naslov tabela"/>
    <w:basedOn w:val="P0"/>
    <w:next w:val="P26"/>
    <w:p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7">
    <w:name w:val="Fusnota-Broj1"/>
    <w:basedOn w:val="P0"/>
    <w:next w:val="P27"/>
    <w:pPr>
      <w:tabs>
        <w:tab w:val="left" w:pos="360" w:leader="none"/>
      </w:tabs>
      <w:ind w:hanging="360" w:left="360"/>
    </w:pPr>
    <w:rPr>
      <w:rFonts w:ascii="Arial" w:hAnsi="Arial"/>
      <w:sz w:val="14"/>
      <w:vertAlign w:val="superscript"/>
    </w:rPr>
  </w:style>
  <w:style w:type="paragraph" w:styleId="P28">
    <w:name w:val="Fusnota-Tekst1"/>
    <w:basedOn w:val="P0"/>
    <w:next w:val="P28"/>
    <w:link w:val="C6"/>
    <w:pPr/>
    <w:rPr>
      <w:rFonts w:ascii="Arial" w:hAnsi="Arial"/>
      <w:sz w:val="14"/>
    </w:rPr>
  </w:style>
  <w:style w:type="paragraph" w:styleId="P29">
    <w:name w:val="Char Char Char Char Char1 Char1"/>
    <w:basedOn w:val="P0"/>
    <w:next w:val="P29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30">
    <w:name w:val=" Char Char Char Char Char1 Char"/>
    <w:basedOn w:val="P0"/>
    <w:next w:val="P3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31">
    <w:name w:val=" Char Char Char"/>
    <w:basedOn w:val="P0"/>
    <w:next w:val="P31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80"/>
      <w:sz w:val="20"/>
    </w:rPr>
  </w:style>
  <w:style w:type="paragraph" w:styleId="P32">
    <w:name w:val="Body Text First Indent"/>
    <w:basedOn w:val="P13"/>
    <w:next w:val="P32"/>
    <w:pPr>
      <w:numPr>
        <w:numId w:val="10"/>
      </w:numPr>
      <w:tabs>
        <w:tab w:val="clear" w:pos="142" w:leader="none"/>
        <w:tab w:val="clear" w:pos="360" w:leader="none"/>
      </w:tabs>
      <w:spacing w:after="120"/>
      <w:ind w:firstLine="210" w:left="360"/>
      <w:jc w:val="left"/>
    </w:pPr>
    <w:rPr>
      <w:sz w:val="20"/>
    </w:rPr>
  </w:style>
  <w:style w:type="paragraph" w:styleId="P33">
    <w:name w:val="Comment Subject"/>
    <w:basedOn w:val="P21"/>
    <w:next w:val="P21"/>
    <w:pPr/>
    <w:rPr>
      <w:b w:val="1"/>
    </w:rPr>
  </w:style>
  <w:style w:type="paragraph" w:styleId="P34">
    <w:name w:val="Naslov saopstenja"/>
    <w:basedOn w:val="P24"/>
    <w:next w:val="P25"/>
    <w:pPr>
      <w:spacing w:after="0"/>
    </w:pPr>
    <w:rPr>
      <w:sz w:val="24"/>
    </w:rPr>
  </w:style>
  <w:style w:type="paragraph" w:styleId="P35">
    <w:name w:val="Tekst Metodologija i Napomena"/>
    <w:basedOn w:val="P32"/>
    <w:next w:val="P13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0"/>
    <w:semiHidden/>
    <w:rPr>
      <w:rFonts w:ascii="Arial" w:hAnsi="Arial"/>
      <w:b w:val="1"/>
      <w:color w:val="00000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usnota-Tekst1 Char"/>
    <w:basedOn w:val="C0"/>
    <w:link w:val="P28"/>
    <w:rPr>
      <w:rFonts w:ascii="Arial" w:hAnsi="Arial"/>
      <w:sz w:val="1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2013-01-21T13:48:00Z</dcterms:created>
  <cp:lastModifiedBy>Nikola Kapetanovic</cp:lastModifiedBy>
  <cp:lastPrinted>2013-01-17T09:06:00Z</cp:lastPrinted>
  <dcterms:modified xsi:type="dcterms:W3CDTF">2020-01-10T11:42:29Z</dcterms:modified>
  <cp:revision>6</cp:revision>
  <dc:title>Република Србија</dc:title>
</cp:coreProperties>
</file>