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EA50E44" Type="http://schemas.openxmlformats.org/officeDocument/2006/relationships/officeDocument" Target="/word/document.xml" /><Relationship Id="coreR4EA50E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866" w:type="dxa"/>
        <w:jc w:val="center"/>
        <w:tblLayout w:type="autofit"/>
        <w:tblCellMar>
          <w:top w:w="0" w:type="dxa"/>
          <w:left w:w="28" w:type="dxa"/>
          <w:bottom w:w="0" w:type="dxa"/>
          <w:right w:w="28" w:type="dxa"/>
        </w:tblCellMar>
      </w:tblPr>
      <w:tblGrid/>
      <w:tr>
        <w:trPr>
          <w:wAfter w:w="0" w:type="dxa"/>
          <w:trHeight w:hRule="atLeast" w:val="2506"/>
        </w:trPr>
        <w:tc>
          <w:tcPr>
            <w:tcW w:w="10108" w:type="dxa"/>
            <w:shd w:val="pct10" w:color="auto" w:fill="auto"/>
          </w:tcPr>
          <w:p>
            <w:pPr>
              <w:spacing w:before="40"/>
              <w:jc w:val="center"/>
              <w:rPr>
                <w:rFonts w:ascii="A Cirilica Helvetica" w:hAnsi="A Cirilica Helvetica"/>
                <w:sz w:val="28"/>
              </w:rPr>
            </w:pPr>
            <w:r>
              <w:rPr>
                <w:sz w:val="28"/>
              </w:rPr>
              <w:t>REPUBLIC OF SERBIA</w:t>
            </w:r>
            <w:r>
              <w:rPr>
                <w:rFonts w:ascii="A Cirilica Helvetica" w:hAnsi="A Cirilica Helvetica"/>
                <w:sz w:val="28"/>
              </w:rPr>
              <w:t xml:space="preserve"> </w:t>
            </w:r>
          </w:p>
          <w:p>
            <w:pPr>
              <w:spacing w:before="40"/>
              <w:jc w:val="center"/>
              <w:rPr>
                <w:rFonts w:ascii="A Cirilica Helvetica" w:hAnsi="A Cirilica Helvetica"/>
                <w:sz w:val="28"/>
              </w:rPr>
            </w:pPr>
            <w:r>
              <w:rPr>
                <w:sz w:val="28"/>
              </w:rPr>
              <w:t>STATISTICAL OFFICE OF THE REPUBLIC OF SERBIA</w:t>
            </w:r>
          </w:p>
          <w:p>
            <w:pPr>
              <w:jc w:val="center"/>
              <w:rPr>
                <w:sz w:val="46"/>
              </w:rPr>
            </w:pPr>
          </w:p>
          <w:p>
            <w:pPr>
              <w:jc w:val="center"/>
              <w:rPr>
                <w:rFonts w:ascii="Times New Roman" w:hAnsi="Times New Roman"/>
                <w:sz w:val="76"/>
              </w:rPr>
            </w:pPr>
            <w:r>
              <w:rPr>
                <w:rFonts w:ascii="Broadway-Roman" w:hAnsi="Broadway-Roman"/>
                <w:b w:val="1"/>
                <w:sz w:val="72"/>
              </w:rPr>
              <w:t>WORKING PAPER</w:t>
            </w:r>
          </w:p>
          <w:p>
            <w:pPr>
              <w:jc w:val="center"/>
              <w:rPr>
                <w:b w:val="1"/>
                <w:sz w:val="40"/>
              </w:rPr>
            </w:pPr>
            <w:r>
              <w:rPr>
                <w:sz w:val="40"/>
              </w:rPr>
              <w:t xml:space="preserve"> </w:t>
            </w:r>
          </w:p>
        </w:tc>
      </w:tr>
    </w:tbl>
    <w:p>
      <w:pPr>
        <w:rPr>
          <w:rFonts w:ascii="Times New Roman" w:hAnsi="Times New Roman"/>
        </w:rPr>
      </w:pPr>
    </w:p>
    <w:tbl>
      <w:tblPr>
        <w:tblStyle w:val="T2"/>
        <w:tblW w:w="0" w:type="auto"/>
        <w:jc w:val="right"/>
        <w:tblLayout w:type="fixed"/>
        <w:tblCellMar>
          <w:top w:w="0" w:type="dxa"/>
          <w:left w:w="28" w:type="dxa"/>
          <w:bottom w:w="0" w:type="dxa"/>
          <w:right w:w="28" w:type="dxa"/>
        </w:tblCellMar>
      </w:tblPr>
      <w:tblGrid/>
      <w:tr>
        <w:trPr>
          <w:wAfter w:w="0" w:type="dxa"/>
        </w:trPr>
        <w:tc>
          <w:tcPr>
            <w:tcW w:w="3969" w:type="dxa"/>
          </w:tcPr>
          <w:p>
            <w:pPr>
              <w:rPr>
                <w:rFonts w:ascii="TimesRomanBold" w:hAnsi="TimesRomanBold"/>
                <w:sz w:val="22"/>
              </w:rPr>
            </w:pPr>
          </w:p>
        </w:tc>
        <w:tc>
          <w:tcPr>
            <w:tcW w:w="5670" w:type="dxa"/>
          </w:tcPr>
          <w:p>
            <w:pPr>
              <w:jc w:val="right"/>
              <w:rPr>
                <w:b w:val="1"/>
                <w:sz w:val="22"/>
              </w:rPr>
            </w:pPr>
            <w:r>
              <w:rPr>
                <w:b w:val="1"/>
                <w:sz w:val="22"/>
              </w:rPr>
              <w:t xml:space="preserve">ISSN 1820 </w:t>
            </w:r>
            <w:r>
              <w:rPr>
                <w:b w:val="1"/>
                <w:sz w:val="22"/>
              </w:rPr>
              <w:t>–</w:t>
            </w:r>
            <w:r>
              <w:rPr>
                <w:b w:val="1"/>
                <w:sz w:val="22"/>
              </w:rPr>
              <w:t xml:space="preserve"> 0141</w:t>
            </w:r>
            <w:r>
              <w:rPr>
                <w:b w:val="1"/>
                <w:sz w:val="22"/>
              </w:rPr>
              <w:t xml:space="preserve"> </w:t>
            </w:r>
          </w:p>
        </w:tc>
      </w:tr>
    </w:tbl>
    <w:p>
      <w:pPr>
        <w:jc w:val="right"/>
        <w:rPr>
          <w:rFonts w:ascii="TimesRomanBold" w:hAnsi="TimesRomanBold"/>
        </w:rPr>
      </w:pPr>
    </w:p>
    <w:p>
      <w:pPr>
        <w:rPr>
          <w:rFonts w:ascii="Times New Roman" w:hAnsi="Times New Roman"/>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b w:val="1"/>
        </w:rPr>
      </w:pPr>
    </w:p>
    <w:p>
      <w:pPr>
        <w:pStyle w:val="P11"/>
        <w:rPr>
          <w:sz w:val="22"/>
        </w:rPr>
      </w:pPr>
    </w:p>
    <w:p>
      <w:pPr>
        <w:pStyle w:val="P11"/>
        <w:rPr>
          <w:rFonts w:ascii="Arial" w:hAnsi="Arial"/>
          <w:sz w:val="50"/>
        </w:rPr>
      </w:pPr>
      <w:r>
        <w:rPr>
          <w:rFonts w:ascii="Arial" w:hAnsi="Arial"/>
          <w:sz w:val="50"/>
        </w:rPr>
        <w:t xml:space="preserve">Enterprises in the Republic of Serbia, </w:t>
      </w:r>
    </w:p>
    <w:p>
      <w:pPr>
        <w:pStyle w:val="P11"/>
        <w:rPr>
          <w:rFonts w:ascii="Arial" w:hAnsi="Arial"/>
          <w:sz w:val="50"/>
        </w:rPr>
      </w:pPr>
      <w:r>
        <w:rPr>
          <w:rFonts w:ascii="Arial" w:hAnsi="Arial"/>
          <w:sz w:val="50"/>
        </w:rPr>
        <w:t xml:space="preserve">by size, 2012 </w:t>
      </w:r>
    </w:p>
    <w:p>
      <w:pPr>
        <w:pStyle w:val="P11"/>
        <w:rPr>
          <w:sz w:val="22"/>
        </w:rPr>
      </w:pPr>
    </w:p>
    <w:p>
      <w:pPr>
        <w:pStyle w:val="P11"/>
        <w:rPr>
          <w:rFonts w:ascii="Arial" w:hAnsi="Arial"/>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sz w:val="22"/>
        </w:rPr>
      </w:pPr>
    </w:p>
    <w:p>
      <w:pPr>
        <w:pStyle w:val="P11"/>
        <w:rPr>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1683" w:type="dxa"/>
            <w:shd w:val="clear" w:color="auto" w:fill="E0E0E0"/>
            <w:vAlign w:val="center"/>
          </w:tcPr>
          <w:p>
            <w:pPr>
              <w:pStyle w:val="P11"/>
              <w:spacing w:before="60" w:after="80"/>
              <w:rPr>
                <w:rFonts w:ascii="A Cirilica Helvetica" w:hAnsi="A Cirilica Helvetica"/>
                <w:sz w:val="22"/>
              </w:rPr>
            </w:pPr>
            <w:r>
              <w:rPr>
                <w:rFonts w:ascii="Arial" w:hAnsi="Arial"/>
                <w:sz w:val="22"/>
              </w:rPr>
              <w:t>Year XLIX</w:t>
            </w:r>
          </w:p>
        </w:tc>
        <w:tc>
          <w:tcPr>
            <w:tcW w:w="6581" w:type="dxa"/>
            <w:shd w:val="clear" w:color="auto" w:fill="E0E0E0"/>
            <w:vAlign w:val="center"/>
          </w:tcPr>
          <w:p>
            <w:pPr>
              <w:pStyle w:val="P11"/>
              <w:spacing w:before="60" w:after="80"/>
              <w:rPr>
                <w:rFonts w:ascii="Arial" w:hAnsi="Arial"/>
                <w:sz w:val="22"/>
              </w:rPr>
            </w:pPr>
            <w:r>
              <w:rPr>
                <w:rFonts w:ascii="Arial" w:hAnsi="Arial"/>
                <w:sz w:val="22"/>
              </w:rPr>
              <w:t>Belgrade, August 2013</w:t>
            </w:r>
          </w:p>
        </w:tc>
        <w:tc>
          <w:tcPr>
            <w:tcW w:w="1767" w:type="dxa"/>
            <w:shd w:val="clear" w:color="auto" w:fill="E0E0E0"/>
            <w:vAlign w:val="center"/>
          </w:tcPr>
          <w:p>
            <w:pPr>
              <w:pStyle w:val="P11"/>
              <w:spacing w:before="60" w:after="80"/>
              <w:rPr>
                <w:rFonts w:ascii="Arial" w:hAnsi="Arial"/>
                <w:sz w:val="22"/>
              </w:rPr>
            </w:pPr>
            <w:r>
              <w:rPr>
                <w:rFonts w:ascii="Arial" w:hAnsi="Arial"/>
                <w:sz w:val="22"/>
              </w:rPr>
              <w:t>Number 82</w:t>
            </w:r>
          </w:p>
        </w:tc>
      </w:tr>
    </w:tbl>
    <w:p>
      <w:pPr>
        <w:rPr>
          <w:rFonts w:ascii="CHelvPlain" w:hAnsi="CHelvPlain"/>
          <w:i w:val="1"/>
        </w:rPr>
      </w:pPr>
    </w:p>
    <w:p>
      <w:pPr>
        <w:pStyle w:val="P11"/>
        <w:jc w:val="left"/>
        <w:rPr>
          <w:rFonts w:ascii="Times New Roman" w:hAnsi="Times New Roman"/>
          <w:sz w:val="22"/>
        </w:rPr>
      </w:pPr>
    </w:p>
    <w:p>
      <w:pPr>
        <w:pStyle w:val="P20"/>
        <w:ind w:firstLine="0" w:left="510"/>
        <w:jc w:val="left"/>
        <w:rPr>
          <w:rFonts w:ascii="Arial" w:hAnsi="Arial"/>
          <w:b w:val="1"/>
        </w:rPr>
      </w:pPr>
      <w:r>
        <w:rPr>
          <w:rFonts w:ascii="Arial" w:hAnsi="Arial"/>
          <w:b w:val="1"/>
        </w:rPr>
        <w:t>Publisher:</w:t>
      </w:r>
    </w:p>
    <w:p>
      <w:pPr>
        <w:pStyle w:val="P20"/>
        <w:rPr>
          <w:rFonts w:ascii="Arial" w:hAnsi="Arial"/>
        </w:rPr>
      </w:pPr>
      <w:r>
        <w:rPr>
          <w:rFonts w:ascii="Arial" w:hAnsi="Arial"/>
        </w:rPr>
        <w:t>Statistical Office of the Republic of Serbia</w:t>
      </w:r>
    </w:p>
    <w:p>
      <w:pPr>
        <w:pStyle w:val="P20"/>
        <w:rPr>
          <w:rFonts w:ascii="Arial" w:hAnsi="Arial"/>
        </w:rPr>
      </w:pPr>
      <w:r>
        <w:rPr>
          <w:rFonts w:ascii="Arial" w:hAnsi="Arial"/>
        </w:rPr>
        <w:t xml:space="preserve">Belgrade, 5, Milana Rakića St </w:t>
      </w:r>
    </w:p>
    <w:p>
      <w:pPr>
        <w:pStyle w:val="P20"/>
        <w:rPr>
          <w:rFonts w:ascii="Arial" w:hAnsi="Arial"/>
        </w:rPr>
      </w:pPr>
    </w:p>
    <w:p>
      <w:pPr>
        <w:pStyle w:val="P20"/>
        <w:rPr>
          <w:rFonts w:ascii="Arial" w:hAnsi="Arial"/>
          <w:b w:val="1"/>
        </w:rPr>
      </w:pPr>
      <w:r>
        <w:rPr>
          <w:rFonts w:ascii="Arial" w:hAnsi="Arial"/>
          <w:b w:val="1"/>
        </w:rPr>
        <w:t>For publisher:</w:t>
      </w:r>
    </w:p>
    <w:p>
      <w:pPr>
        <w:pStyle w:val="P20"/>
        <w:rPr>
          <w:rFonts w:ascii="Arial" w:hAnsi="Arial"/>
        </w:rPr>
      </w:pPr>
      <w:r>
        <w:rPr>
          <w:rFonts w:ascii="Arial" w:hAnsi="Arial"/>
        </w:rPr>
        <w:t>Director</w:t>
      </w:r>
    </w:p>
    <w:p>
      <w:pPr>
        <w:pStyle w:val="P19"/>
        <w:spacing w:before="0"/>
        <w:rPr>
          <w:rFonts w:ascii="Arial" w:hAnsi="Arial"/>
        </w:rPr>
      </w:pPr>
      <w:r>
        <w:rPr>
          <w:rFonts w:ascii="Arial" w:hAnsi="Arial"/>
        </w:rPr>
        <w:t>Professor Dragan Vukmirović, PhD</w:t>
      </w:r>
    </w:p>
    <w:p>
      <w:pPr>
        <w:pStyle w:val="P19"/>
        <w:spacing w:before="0"/>
        <w:rPr>
          <w:rFonts w:ascii="Arial" w:hAnsi="Arial"/>
        </w:rPr>
      </w:pPr>
    </w:p>
    <w:p>
      <w:pPr>
        <w:pStyle w:val="P11"/>
        <w:jc w:val="left"/>
        <w:rPr>
          <w:rFonts w:ascii="Times New Roman" w:hAnsi="Times New Roman"/>
          <w:sz w:val="22"/>
        </w:rPr>
      </w:pPr>
    </w:p>
    <w:p>
      <w:pPr>
        <w:pStyle w:val="P19"/>
        <w:rPr>
          <w:rFonts w:ascii="Arial" w:hAnsi="Arial"/>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tbl>
      <w:tblPr>
        <w:tblStyle w:val="T3"/>
        <w:tblW w:w="0" w:type="auto"/>
        <w:jc w:val="center"/>
        <w:tblLayout w:type="autofit"/>
      </w:tblPr>
      <w:tblGrid/>
      <w:tr>
        <w:tc>
          <w:tcPr>
            <w:tcW w:w="6804" w:type="dxa"/>
            <w:vAlign w:val="center"/>
          </w:tcPr>
          <w:p>
            <w:pPr>
              <w:spacing w:before="120" w:after="120"/>
              <w:jc w:val="center"/>
            </w:pPr>
            <w:r>
              <w:t>No part of this publication shall be used without quoting the source.</w:t>
            </w:r>
          </w:p>
        </w:tc>
      </w:tr>
    </w:tbl>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jc w:val="center"/>
        <w:rPr>
          <w:b w:val="1"/>
          <w:sz w:val="28"/>
        </w:rPr>
      </w:pPr>
    </w:p>
    <w:p>
      <w:pPr>
        <w:jc w:val="center"/>
        <w:rPr>
          <w:b w:val="1"/>
          <w:sz w:val="28"/>
        </w:rPr>
      </w:pPr>
    </w:p>
    <w:p>
      <w:pPr>
        <w:jc w:val="center"/>
        <w:rPr>
          <w:b w:val="1"/>
          <w:sz w:val="28"/>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r>
        <w:rPr>
          <w:b w:val="1"/>
          <w:sz w:val="22"/>
        </w:rPr>
        <w:t>List of contents</w:t>
      </w:r>
    </w:p>
    <w:p>
      <w:pPr>
        <w:jc w:val="center"/>
        <w:rPr>
          <w:b w:val="1"/>
          <w:sz w:val="22"/>
        </w:rPr>
      </w:pPr>
    </w:p>
    <w:p>
      <w:pPr>
        <w:jc w:val="center"/>
        <w:rPr>
          <w:b w:val="1"/>
          <w:sz w:val="22"/>
        </w:rPr>
      </w:pPr>
    </w:p>
    <w:p>
      <w:pPr>
        <w:pStyle w:val="P1"/>
        <w:tabs>
          <w:tab w:val="right" w:pos="9639" w:leader="dot"/>
        </w:tabs>
        <w:spacing w:before="0" w:after="0"/>
        <w:rPr>
          <w:b w:val="1"/>
          <w:sz w:val="20"/>
        </w:rPr>
      </w:pPr>
    </w:p>
    <w:p>
      <w:pPr>
        <w:tabs>
          <w:tab w:val="right" w:pos="9639" w:leader="dot"/>
        </w:tabs>
        <w:spacing w:before="60"/>
      </w:pPr>
    </w:p>
    <w:p>
      <w:pPr>
        <w:tabs>
          <w:tab w:val="right" w:pos="9639" w:leader="dot"/>
        </w:tabs>
        <w:spacing w:before="60"/>
      </w:pPr>
      <w:r>
        <w:t>Methodological explanations</w:t>
        <w:tab/>
        <w:t xml:space="preserve"> 5</w:t>
      </w:r>
    </w:p>
    <w:p>
      <w:pPr>
        <w:tabs>
          <w:tab w:val="right" w:pos="9639" w:leader="dot"/>
        </w:tabs>
        <w:spacing w:before="60"/>
      </w:pPr>
    </w:p>
    <w:p>
      <w:pPr>
        <w:tabs>
          <w:tab w:val="right" w:pos="9639" w:leader="dot"/>
        </w:tabs>
        <w:spacing w:before="60"/>
      </w:pPr>
      <w:r>
        <w:t>(1) Number of enterprises by size</w:t>
        <w:tab/>
        <w:t xml:space="preserve"> 14</w:t>
      </w:r>
    </w:p>
    <w:p>
      <w:pPr>
        <w:tabs>
          <w:tab w:val="right" w:pos="9639" w:leader="dot"/>
        </w:tabs>
        <w:spacing w:before="60"/>
      </w:pPr>
      <w:r>
        <w:t>(2) Number of employees by enterprise size</w:t>
        <w:tab/>
        <w:t xml:space="preserve"> 14</w:t>
      </w:r>
    </w:p>
    <w:p>
      <w:pPr>
        <w:tabs>
          <w:tab w:val="right" w:pos="9639" w:leader="dot"/>
        </w:tabs>
        <w:spacing w:before="60"/>
      </w:pPr>
      <w:r>
        <w:t>(3) Turnover by enterprise size</w:t>
        <w:tab/>
        <w:t xml:space="preserve"> 14</w:t>
      </w:r>
    </w:p>
    <w:p>
      <w:pPr>
        <w:tabs>
          <w:tab w:val="right" w:pos="9639" w:leader="dot"/>
        </w:tabs>
        <w:spacing w:before="60"/>
      </w:pPr>
      <w:r>
        <w:t>(4) Gross value added by enterprise size</w:t>
        <w:tab/>
        <w:t xml:space="preserve"> 15</w:t>
      </w:r>
    </w:p>
    <w:p>
      <w:pPr>
        <w:tabs>
          <w:tab w:val="right" w:pos="9639" w:leader="dot"/>
        </w:tabs>
        <w:spacing w:before="60"/>
      </w:pPr>
    </w:p>
    <w:p>
      <w:pPr>
        <w:tabs>
          <w:tab w:val="right" w:pos="9639" w:leader="dot"/>
        </w:tabs>
      </w:pPr>
      <w:r>
        <w:t xml:space="preserve">Conclusion ………………………………………………………………………………………………………………15 </w:t>
      </w:r>
    </w:p>
    <w:p/>
    <w:p>
      <w:pPr>
        <w:jc w:val="center"/>
        <w:rPr>
          <w:b w:val="1"/>
          <w:sz w:val="28"/>
        </w:rPr>
      </w:pPr>
    </w:p>
    <w:p>
      <w:pPr>
        <w:jc w:val="center"/>
        <w:rPr>
          <w:b w:val="1"/>
          <w:sz w:val="28"/>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spacing w:lineRule="auto" w:line="228"/>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4"/>
        </w:rPr>
      </w:pPr>
    </w:p>
    <w:p>
      <w:pPr>
        <w:jc w:val="center"/>
        <w:rPr>
          <w:b w:val="1"/>
          <w:sz w:val="24"/>
        </w:rPr>
      </w:pPr>
    </w:p>
    <w:p>
      <w:pPr>
        <w:jc w:val="center"/>
        <w:rPr>
          <w:b w:val="1"/>
          <w:sz w:val="24"/>
        </w:rPr>
      </w:pPr>
    </w:p>
    <w:p>
      <w:pPr>
        <w:spacing w:lineRule="auto" w:line="264"/>
        <w:jc w:val="center"/>
        <w:rPr>
          <w:b w:val="1"/>
          <w:sz w:val="24"/>
        </w:rPr>
      </w:pPr>
      <w:r>
        <w:rPr>
          <w:b w:val="1"/>
          <w:sz w:val="24"/>
        </w:rPr>
        <w:t>Enterprises in the Republic of Serbia by size, 201</w:t>
      </w:r>
      <w:r>
        <w:rPr>
          <w:b w:val="1"/>
          <w:sz w:val="24"/>
        </w:rPr>
        <w:t>2</w:t>
      </w:r>
    </w:p>
    <w:p>
      <w:pPr>
        <w:pStyle w:val="P1"/>
        <w:spacing w:before="480"/>
        <w:jc w:val="center"/>
        <w:rPr>
          <w:sz w:val="24"/>
        </w:rPr>
      </w:pPr>
      <w:r>
        <w:rPr>
          <w:sz w:val="24"/>
        </w:rPr>
        <w:t>Methodological explanations</w:t>
      </w:r>
    </w:p>
    <w:p>
      <w:pPr>
        <w:pStyle w:val="P1"/>
        <w:spacing w:before="480"/>
        <w:ind w:firstLine="397"/>
        <w:jc w:val="both"/>
        <w:rPr>
          <w:sz w:val="24"/>
        </w:rPr>
      </w:pPr>
      <w:r>
        <w:rPr>
          <w:b w:val="0"/>
          <w:sz w:val="20"/>
        </w:rPr>
        <w:t xml:space="preserve">Considering the increasing number of users and taking efforts to harmonize its activities with international standards and recommendations, the Statistical Office of the Republic of Serbia continually  publish the selected macroeconomic indicators for enterprises, by their size. The survey covers non-financial institutional sector according to </w:t>
      </w:r>
      <w:r>
        <w:rPr>
          <w:b w:val="0"/>
          <w:sz w:val="20"/>
        </w:rPr>
        <w:t xml:space="preserve">the </w:t>
      </w:r>
      <w:r>
        <w:rPr>
          <w:b w:val="0"/>
          <w:sz w:val="20"/>
        </w:rPr>
        <w:t>SNA methodology, based on administrative data source – financial statements of enterprises (starting from 2009 processed by the Serbi</w:t>
      </w:r>
      <w:r>
        <w:rPr>
          <w:b w:val="0"/>
          <w:sz w:val="20"/>
        </w:rPr>
        <w:t>an Business Registers Agency).</w:t>
      </w:r>
    </w:p>
    <w:p>
      <w:pPr>
        <w:pStyle w:val="P1"/>
        <w:spacing w:before="480"/>
        <w:ind w:firstLine="397"/>
        <w:jc w:val="both"/>
        <w:rPr>
          <w:b w:val="1"/>
          <w:sz w:val="20"/>
        </w:rPr>
      </w:pPr>
      <w:r>
        <w:rPr>
          <w:b w:val="0"/>
          <w:sz w:val="20"/>
        </w:rPr>
        <w:t xml:space="preserve">Processing results of annual financial statements for enterprises and cooperatives on the territory of the Republic of Serbia are presented in this publication classified as </w:t>
      </w:r>
      <w:r>
        <w:rPr>
          <w:sz w:val="20"/>
        </w:rPr>
        <w:t>micro, small, medium and large enterprises</w:t>
      </w:r>
      <w:r>
        <w:rPr>
          <w:b w:val="0"/>
          <w:sz w:val="20"/>
        </w:rPr>
        <w:t xml:space="preserve">. From this point of view, the following indicators have been monitored: (1) </w:t>
      </w:r>
      <w:r>
        <w:rPr>
          <w:sz w:val="20"/>
        </w:rPr>
        <w:t>number of enterprises</w:t>
      </w:r>
      <w:r>
        <w:rPr>
          <w:b w:val="0"/>
          <w:sz w:val="20"/>
        </w:rPr>
        <w:t xml:space="preserve">, (2) </w:t>
      </w:r>
      <w:r>
        <w:rPr>
          <w:sz w:val="20"/>
        </w:rPr>
        <w:t>number of employees</w:t>
      </w:r>
      <w:r>
        <w:rPr>
          <w:b w:val="0"/>
          <w:sz w:val="20"/>
        </w:rPr>
        <w:t xml:space="preserve">, (3) </w:t>
      </w:r>
      <w:r>
        <w:rPr>
          <w:sz w:val="20"/>
        </w:rPr>
        <w:t>turnover</w:t>
      </w:r>
      <w:r>
        <w:rPr>
          <w:b w:val="0"/>
          <w:sz w:val="20"/>
        </w:rPr>
        <w:t xml:space="preserve"> and (4) </w:t>
      </w:r>
      <w:r>
        <w:rPr>
          <w:sz w:val="20"/>
        </w:rPr>
        <w:t>gross value added</w:t>
      </w:r>
      <w:r>
        <w:rPr>
          <w:b w:val="0"/>
          <w:sz w:val="20"/>
        </w:rPr>
        <w:t>. The mentioned features are presented by enterprise size, which is defined, pursuant to international recommendations, only according to number of employees: 0-9 (micro), 10-49 (small), 50-249 (medium), 250 and over (large). It is important to note that, on the other hand, in the publications released by institutions authorized to compile and process financial statements (previously, the National Bank of Serbia and presently, the Serbian Business Registers Agency), three criteria have been applied for classification, i.e. for de</w:t>
      </w:r>
      <w:r>
        <w:rPr>
          <w:b w:val="0"/>
          <w:sz w:val="20"/>
        </w:rPr>
        <w:t>fi</w:t>
      </w:r>
      <w:r>
        <w:rPr>
          <w:b w:val="0"/>
          <w:sz w:val="20"/>
        </w:rPr>
        <w:t>ning enterprise size, in compliance with the Law on Accounting and Auditing.</w:t>
      </w:r>
    </w:p>
    <w:p>
      <w:pPr>
        <w:pStyle w:val="P1"/>
        <w:spacing w:before="480"/>
        <w:ind w:firstLine="397"/>
        <w:jc w:val="both"/>
        <w:rPr>
          <w:sz w:val="22"/>
        </w:rPr>
      </w:pPr>
      <w:r>
        <w:rPr>
          <w:b w:val="0"/>
          <w:sz w:val="20"/>
        </w:rPr>
        <w:t xml:space="preserve">In accordance with the new territorial distribution and the Classification of Activities (2010), from the territorial point of view the data are presented up to the level of region – </w:t>
      </w:r>
      <w:r>
        <w:rPr>
          <w:b w:val="0"/>
          <w:i w:val="1"/>
          <w:sz w:val="20"/>
        </w:rPr>
        <w:t>NSTJ 2</w:t>
      </w:r>
      <w:r>
        <w:rPr>
          <w:b w:val="0"/>
          <w:sz w:val="20"/>
        </w:rPr>
        <w:t xml:space="preserve"> – </w:t>
      </w:r>
      <w:r>
        <w:rPr>
          <w:b w:val="0"/>
          <w:sz w:val="20"/>
        </w:rPr>
        <w:t>the National n</w:t>
      </w:r>
      <w:r>
        <w:rPr>
          <w:b w:val="0"/>
          <w:sz w:val="20"/>
        </w:rPr>
        <w:t>omenclature of statistical territorial units, and regarding the activities, on the level of sections of the Classification of Activities (2010):</w:t>
      </w:r>
    </w:p>
    <w:p>
      <w:pPr>
        <w:rPr>
          <w:sz w:val="10"/>
        </w:rPr>
      </w:pPr>
    </w:p>
    <w:tbl>
      <w:tblPr>
        <w:tblStyle w:val="T3"/>
        <w:tblW w:w="853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615" w:type="dxa"/>
            <w:vAlign w:val="bottom"/>
          </w:tcPr>
          <w:p>
            <w:pPr>
              <w:jc w:val="center"/>
              <w:rPr>
                <w:sz w:val="18"/>
              </w:rPr>
            </w:pPr>
            <w:r>
              <w:rPr>
                <w:sz w:val="18"/>
              </w:rPr>
              <w:t>A</w:t>
            </w:r>
          </w:p>
        </w:tc>
        <w:tc>
          <w:tcPr>
            <w:tcW w:w="7918" w:type="dxa"/>
          </w:tcPr>
          <w:p>
            <w:pPr>
              <w:jc w:val="both"/>
              <w:rPr>
                <w:sz w:val="18"/>
              </w:rPr>
            </w:pPr>
            <w:r>
              <w:rPr>
                <w:sz w:val="18"/>
              </w:rPr>
              <w:t>Agriculture, forestry and fishing</w:t>
            </w:r>
          </w:p>
        </w:tc>
      </w:tr>
      <w:tr>
        <w:trPr>
          <w:wAfter w:w="0" w:type="dxa"/>
        </w:trPr>
        <w:tc>
          <w:tcPr>
            <w:tcW w:w="615" w:type="dxa"/>
            <w:vAlign w:val="bottom"/>
          </w:tcPr>
          <w:p>
            <w:pPr>
              <w:jc w:val="center"/>
              <w:rPr>
                <w:sz w:val="18"/>
              </w:rPr>
            </w:pPr>
            <w:r>
              <w:rPr>
                <w:sz w:val="18"/>
              </w:rPr>
              <w:t>B</w:t>
            </w:r>
          </w:p>
        </w:tc>
        <w:tc>
          <w:tcPr>
            <w:tcW w:w="7918" w:type="dxa"/>
          </w:tcPr>
          <w:p>
            <w:pPr>
              <w:jc w:val="both"/>
              <w:rPr>
                <w:sz w:val="18"/>
              </w:rPr>
            </w:pPr>
            <w:r>
              <w:rPr>
                <w:sz w:val="18"/>
              </w:rPr>
              <w:t xml:space="preserve">Mining and quarrying </w:t>
            </w:r>
          </w:p>
        </w:tc>
      </w:tr>
      <w:tr>
        <w:trPr>
          <w:wAfter w:w="0" w:type="dxa"/>
        </w:trPr>
        <w:tc>
          <w:tcPr>
            <w:tcW w:w="615" w:type="dxa"/>
            <w:vAlign w:val="bottom"/>
          </w:tcPr>
          <w:p>
            <w:pPr>
              <w:jc w:val="center"/>
              <w:rPr>
                <w:sz w:val="18"/>
              </w:rPr>
            </w:pPr>
            <w:r>
              <w:rPr>
                <w:sz w:val="18"/>
              </w:rPr>
              <w:t>C</w:t>
            </w:r>
          </w:p>
        </w:tc>
        <w:tc>
          <w:tcPr>
            <w:tcW w:w="7918" w:type="dxa"/>
          </w:tcPr>
          <w:p>
            <w:pPr>
              <w:jc w:val="both"/>
              <w:rPr>
                <w:sz w:val="18"/>
              </w:rPr>
            </w:pPr>
            <w:r>
              <w:rPr>
                <w:sz w:val="18"/>
              </w:rPr>
              <w:t xml:space="preserve">Manufacturing </w:t>
            </w:r>
          </w:p>
        </w:tc>
      </w:tr>
      <w:tr>
        <w:trPr>
          <w:wAfter w:w="0" w:type="dxa"/>
        </w:trPr>
        <w:tc>
          <w:tcPr>
            <w:tcW w:w="615" w:type="dxa"/>
            <w:vAlign w:val="bottom"/>
          </w:tcPr>
          <w:p>
            <w:pPr>
              <w:jc w:val="center"/>
              <w:rPr>
                <w:sz w:val="18"/>
              </w:rPr>
            </w:pPr>
            <w:r>
              <w:rPr>
                <w:sz w:val="18"/>
              </w:rPr>
              <w:t>D</w:t>
            </w:r>
          </w:p>
        </w:tc>
        <w:tc>
          <w:tcPr>
            <w:tcW w:w="7918" w:type="dxa"/>
          </w:tcPr>
          <w:p>
            <w:pPr>
              <w:rPr>
                <w:sz w:val="18"/>
              </w:rPr>
            </w:pPr>
            <w:r>
              <w:rPr>
                <w:sz w:val="18"/>
              </w:rPr>
              <w:t xml:space="preserve">Electricity, gas and steam supply </w:t>
            </w:r>
          </w:p>
        </w:tc>
      </w:tr>
      <w:tr>
        <w:trPr>
          <w:wAfter w:w="0" w:type="dxa"/>
        </w:trPr>
        <w:tc>
          <w:tcPr>
            <w:tcW w:w="615" w:type="dxa"/>
            <w:vAlign w:val="bottom"/>
          </w:tcPr>
          <w:p>
            <w:pPr>
              <w:jc w:val="center"/>
              <w:rPr>
                <w:sz w:val="18"/>
              </w:rPr>
            </w:pPr>
            <w:r>
              <w:rPr>
                <w:sz w:val="18"/>
              </w:rPr>
              <w:t>E</w:t>
            </w:r>
          </w:p>
        </w:tc>
        <w:tc>
          <w:tcPr>
            <w:tcW w:w="7918" w:type="dxa"/>
          </w:tcPr>
          <w:p>
            <w:pPr>
              <w:rPr>
                <w:sz w:val="18"/>
              </w:rPr>
            </w:pPr>
            <w:r>
              <w:rPr>
                <w:sz w:val="18"/>
              </w:rPr>
              <w:t xml:space="preserve">Water supply; sewerage, waste management and remediation activities </w:t>
            </w:r>
          </w:p>
        </w:tc>
      </w:tr>
      <w:tr>
        <w:trPr>
          <w:wAfter w:w="0" w:type="dxa"/>
        </w:trPr>
        <w:tc>
          <w:tcPr>
            <w:tcW w:w="615" w:type="dxa"/>
            <w:vAlign w:val="bottom"/>
          </w:tcPr>
          <w:p>
            <w:pPr>
              <w:jc w:val="center"/>
              <w:rPr>
                <w:sz w:val="18"/>
              </w:rPr>
            </w:pPr>
            <w:r>
              <w:rPr>
                <w:sz w:val="18"/>
              </w:rPr>
              <w:t>F</w:t>
            </w:r>
          </w:p>
        </w:tc>
        <w:tc>
          <w:tcPr>
            <w:tcW w:w="7918" w:type="dxa"/>
          </w:tcPr>
          <w:p>
            <w:pPr>
              <w:rPr>
                <w:sz w:val="18"/>
              </w:rPr>
            </w:pPr>
            <w:r>
              <w:rPr>
                <w:sz w:val="18"/>
              </w:rPr>
              <w:t xml:space="preserve">Construction </w:t>
            </w:r>
          </w:p>
        </w:tc>
      </w:tr>
      <w:tr>
        <w:trPr>
          <w:wAfter w:w="0" w:type="dxa"/>
        </w:trPr>
        <w:tc>
          <w:tcPr>
            <w:tcW w:w="615" w:type="dxa"/>
            <w:vAlign w:val="bottom"/>
          </w:tcPr>
          <w:p>
            <w:pPr>
              <w:jc w:val="center"/>
              <w:rPr>
                <w:sz w:val="18"/>
              </w:rPr>
            </w:pPr>
            <w:r>
              <w:rPr>
                <w:sz w:val="18"/>
              </w:rPr>
              <w:t>G</w:t>
            </w:r>
          </w:p>
        </w:tc>
        <w:tc>
          <w:tcPr>
            <w:tcW w:w="7918" w:type="dxa"/>
          </w:tcPr>
          <w:p>
            <w:pPr>
              <w:rPr>
                <w:sz w:val="18"/>
              </w:rPr>
            </w:pPr>
            <w:r>
              <w:rPr>
                <w:sz w:val="18"/>
              </w:rPr>
              <w:t xml:space="preserve">Wholesale and retail trade; repair of motor vehicles and motorcycles </w:t>
            </w:r>
          </w:p>
        </w:tc>
      </w:tr>
      <w:tr>
        <w:trPr>
          <w:wAfter w:w="0" w:type="dxa"/>
        </w:trPr>
        <w:tc>
          <w:tcPr>
            <w:tcW w:w="615" w:type="dxa"/>
            <w:vAlign w:val="bottom"/>
          </w:tcPr>
          <w:p>
            <w:pPr>
              <w:jc w:val="center"/>
              <w:rPr>
                <w:sz w:val="18"/>
              </w:rPr>
            </w:pPr>
            <w:r>
              <w:rPr>
                <w:sz w:val="18"/>
              </w:rPr>
              <w:t>H</w:t>
            </w:r>
          </w:p>
        </w:tc>
        <w:tc>
          <w:tcPr>
            <w:tcW w:w="7918" w:type="dxa"/>
          </w:tcPr>
          <w:p>
            <w:pPr>
              <w:rPr>
                <w:sz w:val="18"/>
              </w:rPr>
            </w:pPr>
            <w:r>
              <w:rPr>
                <w:sz w:val="18"/>
              </w:rPr>
              <w:t xml:space="preserve">Transportation and storage </w:t>
            </w:r>
          </w:p>
        </w:tc>
      </w:tr>
      <w:tr>
        <w:trPr>
          <w:wAfter w:w="0" w:type="dxa"/>
        </w:trPr>
        <w:tc>
          <w:tcPr>
            <w:tcW w:w="615" w:type="dxa"/>
            <w:vAlign w:val="bottom"/>
          </w:tcPr>
          <w:p>
            <w:pPr>
              <w:jc w:val="center"/>
              <w:rPr>
                <w:sz w:val="18"/>
              </w:rPr>
            </w:pPr>
            <w:r>
              <w:rPr>
                <w:sz w:val="18"/>
              </w:rPr>
              <w:t>I</w:t>
            </w:r>
          </w:p>
        </w:tc>
        <w:tc>
          <w:tcPr>
            <w:tcW w:w="7918" w:type="dxa"/>
          </w:tcPr>
          <w:p>
            <w:pPr>
              <w:rPr>
                <w:sz w:val="18"/>
              </w:rPr>
            </w:pPr>
            <w:r>
              <w:rPr>
                <w:sz w:val="18"/>
              </w:rPr>
              <w:t xml:space="preserve">Accommodation and food service activities </w:t>
            </w:r>
          </w:p>
        </w:tc>
      </w:tr>
      <w:tr>
        <w:trPr>
          <w:wAfter w:w="0" w:type="dxa"/>
        </w:trPr>
        <w:tc>
          <w:tcPr>
            <w:tcW w:w="615" w:type="dxa"/>
            <w:vAlign w:val="bottom"/>
          </w:tcPr>
          <w:p>
            <w:pPr>
              <w:jc w:val="center"/>
              <w:rPr>
                <w:sz w:val="18"/>
              </w:rPr>
            </w:pPr>
            <w:r>
              <w:rPr>
                <w:sz w:val="18"/>
              </w:rPr>
              <w:t>J</w:t>
            </w:r>
          </w:p>
        </w:tc>
        <w:tc>
          <w:tcPr>
            <w:tcW w:w="7918" w:type="dxa"/>
          </w:tcPr>
          <w:p>
            <w:pPr>
              <w:rPr>
                <w:sz w:val="18"/>
              </w:rPr>
            </w:pPr>
            <w:r>
              <w:rPr>
                <w:color w:val="000000"/>
                <w:sz w:val="18"/>
              </w:rPr>
              <w:t xml:space="preserve">Information and communication </w:t>
            </w:r>
          </w:p>
        </w:tc>
      </w:tr>
      <w:tr>
        <w:trPr>
          <w:wAfter w:w="0" w:type="dxa"/>
        </w:trPr>
        <w:tc>
          <w:tcPr>
            <w:tcW w:w="615" w:type="dxa"/>
            <w:vAlign w:val="bottom"/>
          </w:tcPr>
          <w:p>
            <w:pPr>
              <w:jc w:val="center"/>
              <w:rPr>
                <w:sz w:val="18"/>
              </w:rPr>
            </w:pPr>
            <w:r>
              <w:rPr>
                <w:sz w:val="18"/>
              </w:rPr>
              <w:t>K</w:t>
            </w:r>
          </w:p>
        </w:tc>
        <w:tc>
          <w:tcPr>
            <w:tcW w:w="7918" w:type="dxa"/>
          </w:tcPr>
          <w:p>
            <w:pPr>
              <w:jc w:val="both"/>
              <w:rPr>
                <w:sz w:val="18"/>
              </w:rPr>
            </w:pPr>
            <w:r>
              <w:rPr>
                <w:sz w:val="18"/>
              </w:rPr>
              <w:t xml:space="preserve">Financial and insurance activities </w:t>
            </w:r>
          </w:p>
        </w:tc>
      </w:tr>
      <w:tr>
        <w:trPr>
          <w:wAfter w:w="0" w:type="dxa"/>
        </w:trPr>
        <w:tc>
          <w:tcPr>
            <w:tcW w:w="615" w:type="dxa"/>
            <w:vAlign w:val="bottom"/>
          </w:tcPr>
          <w:p>
            <w:pPr>
              <w:jc w:val="center"/>
              <w:rPr>
                <w:sz w:val="18"/>
              </w:rPr>
            </w:pPr>
            <w:r>
              <w:rPr>
                <w:sz w:val="18"/>
              </w:rPr>
              <w:t>L</w:t>
            </w:r>
          </w:p>
        </w:tc>
        <w:tc>
          <w:tcPr>
            <w:tcW w:w="7918" w:type="dxa"/>
          </w:tcPr>
          <w:p>
            <w:pPr>
              <w:jc w:val="both"/>
              <w:rPr>
                <w:sz w:val="18"/>
              </w:rPr>
            </w:pPr>
            <w:r>
              <w:rPr>
                <w:sz w:val="18"/>
              </w:rPr>
              <w:t xml:space="preserve">Real estate activities </w:t>
            </w:r>
          </w:p>
        </w:tc>
      </w:tr>
      <w:tr>
        <w:trPr>
          <w:wAfter w:w="0" w:type="dxa"/>
        </w:trPr>
        <w:tc>
          <w:tcPr>
            <w:tcW w:w="615" w:type="dxa"/>
            <w:vAlign w:val="bottom"/>
          </w:tcPr>
          <w:p>
            <w:pPr>
              <w:jc w:val="center"/>
              <w:rPr>
                <w:sz w:val="18"/>
              </w:rPr>
            </w:pPr>
            <w:r>
              <w:rPr>
                <w:sz w:val="18"/>
              </w:rPr>
              <w:t>M</w:t>
            </w:r>
          </w:p>
        </w:tc>
        <w:tc>
          <w:tcPr>
            <w:tcW w:w="7918" w:type="dxa"/>
          </w:tcPr>
          <w:p>
            <w:pPr>
              <w:jc w:val="both"/>
              <w:rPr>
                <w:sz w:val="18"/>
              </w:rPr>
            </w:pPr>
            <w:r>
              <w:rPr>
                <w:sz w:val="18"/>
              </w:rPr>
              <w:t xml:space="preserve">Professional, scientific and technical activities </w:t>
            </w:r>
          </w:p>
        </w:tc>
      </w:tr>
      <w:tr>
        <w:trPr>
          <w:wAfter w:w="0" w:type="dxa"/>
        </w:trPr>
        <w:tc>
          <w:tcPr>
            <w:tcW w:w="615" w:type="dxa"/>
            <w:vAlign w:val="bottom"/>
          </w:tcPr>
          <w:p>
            <w:pPr>
              <w:jc w:val="center"/>
              <w:rPr>
                <w:sz w:val="18"/>
              </w:rPr>
            </w:pPr>
            <w:r>
              <w:rPr>
                <w:sz w:val="18"/>
              </w:rPr>
              <w:t>N</w:t>
            </w:r>
          </w:p>
        </w:tc>
        <w:tc>
          <w:tcPr>
            <w:tcW w:w="7918" w:type="dxa"/>
          </w:tcPr>
          <w:p>
            <w:pPr>
              <w:jc w:val="both"/>
              <w:rPr>
                <w:sz w:val="18"/>
              </w:rPr>
            </w:pPr>
            <w:r>
              <w:rPr>
                <w:sz w:val="18"/>
              </w:rPr>
              <w:t xml:space="preserve">Administrative and support service activities </w:t>
            </w:r>
          </w:p>
        </w:tc>
      </w:tr>
      <w:tr>
        <w:trPr>
          <w:wAfter w:w="0" w:type="dxa"/>
        </w:trPr>
        <w:tc>
          <w:tcPr>
            <w:tcW w:w="615" w:type="dxa"/>
            <w:vAlign w:val="bottom"/>
          </w:tcPr>
          <w:p>
            <w:pPr>
              <w:jc w:val="center"/>
              <w:rPr>
                <w:sz w:val="18"/>
              </w:rPr>
            </w:pPr>
            <w:r>
              <w:rPr>
                <w:sz w:val="18"/>
              </w:rPr>
              <w:t>O</w:t>
            </w:r>
          </w:p>
        </w:tc>
        <w:tc>
          <w:tcPr>
            <w:tcW w:w="7918" w:type="dxa"/>
          </w:tcPr>
          <w:p>
            <w:pPr>
              <w:jc w:val="both"/>
              <w:rPr>
                <w:sz w:val="18"/>
              </w:rPr>
            </w:pPr>
            <w:r>
              <w:rPr>
                <w:sz w:val="18"/>
              </w:rPr>
              <w:t>Public administration and defence; compulsory social security</w:t>
            </w:r>
          </w:p>
        </w:tc>
      </w:tr>
      <w:tr>
        <w:trPr>
          <w:wAfter w:w="0" w:type="dxa"/>
        </w:trPr>
        <w:tc>
          <w:tcPr>
            <w:tcW w:w="615" w:type="dxa"/>
            <w:vAlign w:val="bottom"/>
          </w:tcPr>
          <w:p>
            <w:pPr>
              <w:jc w:val="center"/>
              <w:rPr>
                <w:sz w:val="18"/>
              </w:rPr>
            </w:pPr>
            <w:r>
              <w:rPr>
                <w:sz w:val="18"/>
              </w:rPr>
              <w:t>P</w:t>
            </w:r>
          </w:p>
        </w:tc>
        <w:tc>
          <w:tcPr>
            <w:tcW w:w="7918" w:type="dxa"/>
          </w:tcPr>
          <w:p>
            <w:pPr>
              <w:jc w:val="both"/>
              <w:rPr>
                <w:sz w:val="18"/>
              </w:rPr>
            </w:pPr>
            <w:r>
              <w:rPr>
                <w:sz w:val="18"/>
              </w:rPr>
              <w:t xml:space="preserve">Education </w:t>
            </w:r>
          </w:p>
        </w:tc>
      </w:tr>
      <w:tr>
        <w:trPr>
          <w:wAfter w:w="0" w:type="dxa"/>
        </w:trPr>
        <w:tc>
          <w:tcPr>
            <w:tcW w:w="615" w:type="dxa"/>
            <w:vAlign w:val="bottom"/>
          </w:tcPr>
          <w:p>
            <w:pPr>
              <w:jc w:val="center"/>
              <w:rPr>
                <w:sz w:val="18"/>
              </w:rPr>
            </w:pPr>
            <w:r>
              <w:rPr>
                <w:sz w:val="18"/>
              </w:rPr>
              <w:t>Q</w:t>
            </w:r>
          </w:p>
        </w:tc>
        <w:tc>
          <w:tcPr>
            <w:tcW w:w="7918" w:type="dxa"/>
          </w:tcPr>
          <w:p>
            <w:pPr>
              <w:jc w:val="both"/>
              <w:rPr>
                <w:sz w:val="18"/>
              </w:rPr>
            </w:pPr>
            <w:r>
              <w:rPr>
                <w:sz w:val="18"/>
              </w:rPr>
              <w:t xml:space="preserve">Human health and social work activities </w:t>
            </w:r>
          </w:p>
        </w:tc>
      </w:tr>
      <w:tr>
        <w:trPr>
          <w:wAfter w:w="0" w:type="dxa"/>
        </w:trPr>
        <w:tc>
          <w:tcPr>
            <w:tcW w:w="615" w:type="dxa"/>
            <w:vAlign w:val="bottom"/>
          </w:tcPr>
          <w:p>
            <w:pPr>
              <w:jc w:val="center"/>
              <w:rPr>
                <w:sz w:val="18"/>
              </w:rPr>
            </w:pPr>
            <w:r>
              <w:rPr>
                <w:sz w:val="18"/>
              </w:rPr>
              <w:t>R</w:t>
            </w:r>
          </w:p>
        </w:tc>
        <w:tc>
          <w:tcPr>
            <w:tcW w:w="7918" w:type="dxa"/>
          </w:tcPr>
          <w:p>
            <w:pPr>
              <w:jc w:val="both"/>
              <w:rPr>
                <w:sz w:val="18"/>
              </w:rPr>
            </w:pPr>
            <w:r>
              <w:rPr>
                <w:sz w:val="18"/>
              </w:rPr>
              <w:t xml:space="preserve">Art, entertainment and recreation </w:t>
            </w:r>
          </w:p>
        </w:tc>
      </w:tr>
      <w:tr>
        <w:trPr>
          <w:wAfter w:w="0" w:type="dxa"/>
        </w:trPr>
        <w:tc>
          <w:tcPr>
            <w:tcW w:w="615" w:type="dxa"/>
            <w:vAlign w:val="bottom"/>
          </w:tcPr>
          <w:p>
            <w:pPr>
              <w:jc w:val="center"/>
              <w:rPr>
                <w:sz w:val="18"/>
              </w:rPr>
            </w:pPr>
            <w:r>
              <w:rPr>
                <w:sz w:val="18"/>
              </w:rPr>
              <w:t>S</w:t>
            </w:r>
          </w:p>
        </w:tc>
        <w:tc>
          <w:tcPr>
            <w:tcW w:w="7918" w:type="dxa"/>
          </w:tcPr>
          <w:p>
            <w:pPr>
              <w:jc w:val="both"/>
              <w:rPr>
                <w:sz w:val="18"/>
              </w:rPr>
            </w:pPr>
            <w:r>
              <w:rPr>
                <w:sz w:val="18"/>
              </w:rPr>
              <w:t xml:space="preserve">Other service activities </w:t>
            </w:r>
          </w:p>
        </w:tc>
      </w:tr>
      <w:tr>
        <w:trPr>
          <w:wAfter w:w="0" w:type="dxa"/>
        </w:trPr>
        <w:tc>
          <w:tcPr>
            <w:tcW w:w="615" w:type="dxa"/>
            <w:vAlign w:val="bottom"/>
          </w:tcPr>
          <w:p>
            <w:pPr>
              <w:jc w:val="center"/>
              <w:rPr>
                <w:sz w:val="18"/>
              </w:rPr>
            </w:pPr>
            <w:r>
              <w:rPr>
                <w:sz w:val="18"/>
              </w:rPr>
              <w:t>T</w:t>
            </w:r>
          </w:p>
        </w:tc>
        <w:tc>
          <w:tcPr>
            <w:tcW w:w="7918" w:type="dxa"/>
          </w:tcPr>
          <w:p>
            <w:pPr>
              <w:rPr>
                <w:sz w:val="18"/>
              </w:rPr>
            </w:pPr>
            <w:r>
              <w:rPr>
                <w:sz w:val="18"/>
              </w:rPr>
              <w:t xml:space="preserve">Activities of households as employers </w:t>
            </w:r>
          </w:p>
        </w:tc>
      </w:tr>
      <w:tr>
        <w:trPr>
          <w:wAfter w:w="0" w:type="dxa"/>
        </w:trPr>
        <w:tc>
          <w:tcPr>
            <w:tcW w:w="615" w:type="dxa"/>
            <w:vAlign w:val="bottom"/>
          </w:tcPr>
          <w:p>
            <w:pPr>
              <w:jc w:val="center"/>
              <w:rPr>
                <w:sz w:val="18"/>
              </w:rPr>
            </w:pPr>
            <w:r>
              <w:rPr>
                <w:sz w:val="18"/>
              </w:rPr>
              <w:t>U</w:t>
            </w:r>
          </w:p>
        </w:tc>
        <w:tc>
          <w:tcPr>
            <w:tcW w:w="7918" w:type="dxa"/>
          </w:tcPr>
          <w:p>
            <w:pPr>
              <w:rPr>
                <w:sz w:val="18"/>
              </w:rPr>
            </w:pPr>
            <w:r>
              <w:rPr>
                <w:sz w:val="18"/>
              </w:rPr>
              <w:t>Activities of extraterritorial organizations and bodies</w:t>
            </w:r>
          </w:p>
        </w:tc>
      </w:tr>
    </w:tbl>
    <w:p>
      <w:pPr>
        <w:ind w:firstLine="720"/>
        <w:jc w:val="both"/>
      </w:pPr>
    </w:p>
    <w:p>
      <w:pPr>
        <w:jc w:val="both"/>
      </w:pPr>
      <w:r>
        <w:t xml:space="preserve">The subject features are defined as follows: </w:t>
      </w:r>
    </w:p>
    <w:p>
      <w:pPr>
        <w:numPr>
          <w:ilvl w:val="0"/>
          <w:numId w:val="16"/>
        </w:numPr>
        <w:jc w:val="both"/>
      </w:pPr>
      <w:r>
        <w:rPr>
          <w:i w:val="1"/>
        </w:rPr>
        <w:t>Number of employees</w:t>
      </w:r>
      <w:r>
        <w:t xml:space="preserve"> – average calculated as of the end of each month in the reporting year; </w:t>
      </w:r>
    </w:p>
    <w:p>
      <w:pPr>
        <w:numPr>
          <w:ilvl w:val="0"/>
          <w:numId w:val="16"/>
        </w:numPr>
        <w:jc w:val="both"/>
      </w:pPr>
      <w:r>
        <w:rPr>
          <w:i w:val="1"/>
        </w:rPr>
        <w:t>Turnover –</w:t>
      </w:r>
      <w:r>
        <w:t xml:space="preserve"> receipts from sales (of goods, and products and services);</w:t>
      </w:r>
    </w:p>
    <w:p>
      <w:pPr>
        <w:numPr>
          <w:ilvl w:val="0"/>
          <w:numId w:val="16"/>
        </w:numPr>
        <w:jc w:val="both"/>
      </w:pPr>
      <w:r>
        <w:rPr>
          <w:i w:val="1"/>
        </w:rPr>
        <w:t>Gross value added</w:t>
      </w:r>
      <w:r>
        <w:t xml:space="preserve"> (at basic prices) – difference between output and intermediate consumption.</w:t>
      </w:r>
    </w:p>
    <w:p>
      <w:pPr>
        <w:spacing w:after="40"/>
        <w:rPr>
          <w:b w:val="1"/>
        </w:rPr>
      </w:pPr>
    </w:p>
    <w:p>
      <w:pPr>
        <w:spacing w:after="40"/>
        <w:rPr>
          <w:b w:val="1"/>
        </w:rPr>
      </w:pPr>
      <w:r>
        <w:rPr>
          <w:b w:val="1"/>
        </w:rPr>
        <w:t xml:space="preserve">1. </w:t>
      </w:r>
      <w:r>
        <w:rPr>
          <w:b w:val="1"/>
        </w:rPr>
        <w:t>Number of enterprises by size</w:t>
      </w:r>
      <w:r>
        <w:rPr>
          <w:b w:val="1"/>
        </w:rPr>
        <w:t xml:space="preserve">, </w:t>
      </w:r>
      <w:r>
        <w:rPr>
          <w:b w:val="1"/>
        </w:rPr>
        <w:t>2012</w:t>
      </w:r>
    </w:p>
    <w:tbl>
      <w:tblPr>
        <w:tblStyle w:val="T2"/>
        <w:tblW w:w="0" w:type="auto"/>
        <w:jc w:val="center"/>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bottom"/>
          </w:tcPr>
          <w:p>
            <w:pPr>
              <w:spacing w:lineRule="auto" w:line="223" w:before="60" w:after="6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bottom"/>
          </w:tcPr>
          <w:p>
            <w:pPr>
              <w:spacing w:lineRule="auto" w:line="223" w:before="60" w:after="6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3" w:before="60" w:after="60"/>
              <w:jc w:val="center"/>
              <w:rPr>
                <w:sz w:val="16"/>
              </w:rPr>
            </w:pPr>
            <w:r>
              <w:rPr>
                <w:sz w:val="15"/>
              </w:rPr>
              <w:t>250+ employees</w:t>
            </w:r>
          </w:p>
        </w:tc>
      </w:tr>
      <w:tr>
        <w:trPr>
          <w:wAfter w:w="0" w:type="dxa"/>
          <w:trHeight w:hRule="atLeast" w:val="20"/>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Height w:hRule="atLeast" w:val="20"/>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r>
              <w:rPr>
                <w:b w:val="1"/>
                <w:sz w:val="15"/>
              </w:rPr>
              <w:t>REPUBLIC OF SERBIA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91536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79189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9699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2142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3341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16956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13243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7363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6252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32663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29505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2739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4940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2597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4063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10700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9771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2860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SEVER </w:t>
            </w:r>
            <w:r>
              <w:rPr>
                <w:b w:val="1"/>
                <w:sz w:val="16"/>
              </w:rPr>
              <w:t xml:space="preserv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63505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55586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6287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9489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5284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23396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21221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2977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3323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8644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7924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2223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Beogradski region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39645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35042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3666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737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200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5133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3488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14780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13354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2450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6295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227"/>
              <w:rPr>
                <w:b w:val="1"/>
                <w:sz w:val="15"/>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b w:val="1"/>
                <w:sz w:val="16"/>
              </w:rPr>
            </w:pPr>
            <w:r>
              <w:rPr>
                <w:b w:val="1"/>
                <w:sz w:val="16"/>
              </w:rPr>
              <w:t xml:space="preserve">Region Vojvodine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23860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20544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2621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4356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8616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7867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bl>
    <w:p>
      <w:pPr>
        <w:spacing w:after="40"/>
        <w:rPr>
          <w:b w:val="1"/>
        </w:rPr>
      </w:pPr>
    </w:p>
    <w:p>
      <w:pPr>
        <w:spacing w:after="40"/>
      </w:pPr>
      <w:r>
        <w:rPr>
          <w:b w:val="1"/>
        </w:rPr>
        <w:t xml:space="preserve">1. </w:t>
      </w:r>
      <w:r>
        <w:rPr>
          <w:b w:val="1"/>
        </w:rPr>
        <w:t>Number of enterprises by size, 201</w:t>
      </w:r>
      <w:r>
        <w:rPr>
          <w:b w:val="1"/>
        </w:rPr>
        <w:t>2</w:t>
      </w:r>
      <w:r>
        <w:rPr>
          <w:sz w:val="18"/>
        </w:rPr>
        <w:t xml:space="preserve"> (Continued)</w:t>
      </w:r>
    </w:p>
    <w:tbl>
      <w:tblPr>
        <w:tblStyle w:val="T2"/>
        <w:tblW w:w="0" w:type="auto"/>
        <w:jc w:val="center"/>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bottom"/>
          </w:tcPr>
          <w:p>
            <w:pPr>
              <w:spacing w:lineRule="auto" w:line="223" w:before="60" w:after="6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bottom"/>
          </w:tcPr>
          <w:p>
            <w:pPr>
              <w:spacing w:lineRule="auto" w:line="223" w:before="60" w:after="6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3" w:before="60" w:after="60"/>
              <w:jc w:val="center"/>
              <w:rPr>
                <w:sz w:val="16"/>
              </w:rPr>
            </w:pPr>
            <w:r>
              <w:rPr>
                <w:sz w:val="15"/>
              </w:rPr>
              <w:t>250+ employees</w:t>
            </w:r>
          </w:p>
        </w:tc>
      </w:tr>
      <w:tr>
        <w:trPr>
          <w:wAfter w:w="0" w:type="dxa"/>
          <w:trHeight w:hRule="atLeast" w:val="20"/>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2349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JUG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28031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23603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3412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841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175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1269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7467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9267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w:t>
            </w:r>
            <w:r>
              <w:rPr>
                <w:b w:val="1"/>
                <w:sz w:val="16"/>
              </w:rPr>
              <w:t>Š</w:t>
            </w:r>
            <w:r>
              <w:rPr>
                <w:b w:val="1"/>
                <w:sz w:val="16"/>
              </w:rPr>
              <w:t xml:space="preserve">umadije i Zapadne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17256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14488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110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4797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Water supply; sewerage, waste management and remediation 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1245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5623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5007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1315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Južne i Istočne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10775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9115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1274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65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2670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Kosovo i Metohija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r>
    </w:tbl>
    <w:p>
      <w:pPr>
        <w:spacing w:after="40"/>
        <w:rPr>
          <w:b w:val="1"/>
        </w:rPr>
      </w:pPr>
    </w:p>
    <w:p>
      <w:pPr>
        <w:spacing w:after="40"/>
        <w:rPr>
          <w:b w:val="1"/>
        </w:rPr>
      </w:pPr>
      <w:r>
        <w:rPr>
          <w:b w:val="1"/>
        </w:rPr>
        <w:t xml:space="preserve">2. </w:t>
      </w:r>
      <w:r>
        <w:rPr>
          <w:b w:val="1"/>
        </w:rPr>
        <w:t>Number of employees by enterprise size</w:t>
      </w:r>
      <w:r>
        <w:rPr>
          <w:b w:val="1"/>
        </w:rPr>
        <w:t xml:space="preserve">, </w:t>
      </w:r>
      <w:r>
        <w:rPr>
          <w:b w:val="1"/>
        </w:rPr>
        <w:t>2012</w:t>
      </w:r>
    </w:p>
    <w:tbl>
      <w:tblPr>
        <w:tblStyle w:val="T2"/>
        <w:tblW w:w="0" w:type="auto"/>
        <w:jc w:val="center"/>
        <w:tblInd w:w="-25" w:type="dxa"/>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center"/>
          </w:tcPr>
          <w:p>
            <w:pPr>
              <w:spacing w:lineRule="auto" w:line="223" w:before="80" w:after="8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3" w:before="60" w:after="60"/>
              <w:jc w:val="center"/>
              <w:rPr>
                <w:sz w:val="16"/>
              </w:rPr>
            </w:pPr>
            <w:r>
              <w:rPr>
                <w:sz w:val="15"/>
              </w:rPr>
              <w:t>250+ employees</w:t>
            </w:r>
          </w:p>
        </w:tc>
      </w:tr>
      <w:tr>
        <w:trPr>
          <w:wAfter w:w="0" w:type="dxa"/>
        </w:trPr>
        <w:tc>
          <w:tcPr>
            <w:tcW w:w="470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3"/>
              <w:rPr>
                <w:b w:val="1"/>
                <w:sz w:val="16"/>
              </w:rPr>
            </w:pPr>
          </w:p>
        </w:tc>
        <w:tc>
          <w:tcPr>
            <w:tcW w:w="10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r>
              <w:rPr>
                <w:b w:val="1"/>
                <w:sz w:val="15"/>
              </w:rPr>
              <w:t>REPUBLIC OF SERBIA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994479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153745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196492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224223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420019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36207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8768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9614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13248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29756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26810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316157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26713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57846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88390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143208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27757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23639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36379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15330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15995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76419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11551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17809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20943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26116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193601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56062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51037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35277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51225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94770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9201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12562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12011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60996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21290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7654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39682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7712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16953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4294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1423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2582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51405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20050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15179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9075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7101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42722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4939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6194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26300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4204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2998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9389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3554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4602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859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SEVER </w:t>
            </w:r>
            <w:r>
              <w:rPr>
                <w:b w:val="1"/>
                <w:sz w:val="16"/>
              </w:rPr>
              <w:t xml:space="preserv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661422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105304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127142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135969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293007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30301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7952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12839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19402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18574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155386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15206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30970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45699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63511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13448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11692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17251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9964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52051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8091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11392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13393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19175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145662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39495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34923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25721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45523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77478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5425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7684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56123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15351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35418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5345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16634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2282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2158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42425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15369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11716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7101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37836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5110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24586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2436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7355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3554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3489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859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Beogradski region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424426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65823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72879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77202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208522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7705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5950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10426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9923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68568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8478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14643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18705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26742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8868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8324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7702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5948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36648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9542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15130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100418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24951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22580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19015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33872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63222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2750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52298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12300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30300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16080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32906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10710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8402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7463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6331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31458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21760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5594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2836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227"/>
              <w:rPr>
                <w:b w:val="1"/>
                <w:sz w:val="15"/>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b w:val="1"/>
                <w:sz w:val="16"/>
              </w:rPr>
            </w:pPr>
            <w:r>
              <w:rPr>
                <w:b w:val="1"/>
                <w:sz w:val="16"/>
              </w:rPr>
              <w:t xml:space="preserve">Region Vojvodine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236996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39481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54263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58767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84485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22596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2380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5999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7328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6889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8976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8651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86818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16327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26994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36769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4580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3368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9549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15403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4045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45244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14544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12343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11651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14256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3825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3051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bl>
    <w:p>
      <w:pPr>
        <w:spacing w:after="40"/>
        <w:rPr>
          <w:b w:val="1"/>
        </w:rPr>
      </w:pPr>
    </w:p>
    <w:p>
      <w:pPr>
        <w:spacing w:after="40"/>
      </w:pPr>
      <w:r>
        <w:rPr>
          <w:b w:val="1"/>
        </w:rPr>
        <w:t xml:space="preserve">2. </w:t>
      </w:r>
      <w:r>
        <w:rPr>
          <w:b w:val="1"/>
        </w:rPr>
        <w:t>Number of employees by enterprise size</w:t>
      </w:r>
      <w:r>
        <w:rPr>
          <w:b w:val="1"/>
        </w:rPr>
        <w:t>, 201</w:t>
      </w:r>
      <w:r>
        <w:rPr>
          <w:b w:val="1"/>
        </w:rPr>
        <w:t>2</w:t>
      </w:r>
      <w:r>
        <w:rPr>
          <w:sz w:val="18"/>
        </w:rPr>
        <w:t xml:space="preserve"> (Continued)</w:t>
      </w:r>
    </w:p>
    <w:tbl>
      <w:tblPr>
        <w:tblStyle w:val="T2"/>
        <w:tblW w:w="0" w:type="auto"/>
        <w:jc w:val="center"/>
        <w:tblInd w:w="-25" w:type="dxa"/>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center"/>
          </w:tcPr>
          <w:p>
            <w:pPr>
              <w:spacing w:lineRule="auto" w:line="223" w:before="80" w:after="8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23"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3" w:before="60" w:after="60"/>
              <w:jc w:val="center"/>
              <w:rPr>
                <w:sz w:val="16"/>
              </w:rPr>
            </w:pPr>
            <w:r>
              <w:rPr>
                <w:sz w:val="15"/>
              </w:rPr>
              <w:t>250+ employees</w:t>
            </w:r>
          </w:p>
        </w:tc>
      </w:tr>
      <w:tr>
        <w:trPr>
          <w:wAfter w:w="0" w:type="dxa"/>
        </w:trPr>
        <w:tc>
          <w:tcPr>
            <w:tcW w:w="470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3"/>
              <w:rPr>
                <w:b w:val="1"/>
                <w:sz w:val="16"/>
              </w:rPr>
            </w:pPr>
          </w:p>
        </w:tc>
        <w:tc>
          <w:tcPr>
            <w:tcW w:w="10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5118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9519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770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6378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2826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718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jc w:val="both"/>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JUG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333057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48441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69350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88254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127012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5906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10354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8236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160771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11507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26876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42691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79697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14309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11947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19128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10642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6031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24368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6941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47939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16567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16114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9556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5702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17292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4873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5939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4264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1143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8980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4886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1714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2034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1599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1113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Šumadije i Zapadne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199310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29914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43329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53343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72724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6352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4784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99349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7618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17795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27720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46216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6693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5476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Water supply; sewerage, waste management and remediation 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10240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4907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3924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15818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5589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28949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9909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9865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5495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3680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10306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2531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1973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3657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1777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5395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2787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1950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1030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Južne i Istočne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133747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18527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26021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34911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54288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2265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4002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3452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61422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3889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9081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14971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33481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7616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6471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8888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2107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8550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2616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3203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1352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18990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6249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4061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2022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6986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2900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2282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2487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1007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319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983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470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148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3585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1411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2936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1714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656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713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524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378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sz w:val="16"/>
              </w:rPr>
            </w:pPr>
            <w:r>
              <w:rPr>
                <w:sz w:val="16"/>
              </w:rPr>
              <w:t>561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189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292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Kosovo i Metohija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r>
              <w:rPr>
                <w:b w:val="1"/>
                <w:sz w:val="16"/>
              </w:rPr>
              <w:t>…</w:t>
            </w:r>
          </w:p>
        </w:tc>
      </w:tr>
    </w:tbl>
    <w:p>
      <w:pPr>
        <w:spacing w:lineRule="auto" w:line="264" w:after="120"/>
        <w:rPr>
          <w:rFonts w:ascii="Arial Narrow" w:hAnsi="Arial Narrow"/>
        </w:rPr>
      </w:pPr>
    </w:p>
    <w:p>
      <w:pPr>
        <w:jc w:val="center"/>
        <w:rPr>
          <w:sz w:val="2"/>
        </w:rPr>
      </w:pPr>
    </w:p>
    <w:p>
      <w:pPr>
        <w:spacing w:after="40"/>
        <w:rPr>
          <w:b w:val="1"/>
        </w:rPr>
      </w:pPr>
      <w:r>
        <w:rPr>
          <w:b w:val="1"/>
        </w:rPr>
        <w:t xml:space="preserve">3. </w:t>
      </w:r>
      <w:r>
        <w:rPr>
          <w:b w:val="1"/>
        </w:rPr>
        <w:t>T</w:t>
      </w:r>
      <w:r>
        <w:rPr>
          <w:b w:val="1"/>
        </w:rPr>
        <w:t>urnover by enterprise size</w:t>
      </w:r>
      <w:r>
        <w:rPr>
          <w:b w:val="1"/>
        </w:rPr>
        <w:t xml:space="preserve">, </w:t>
      </w:r>
      <w:r>
        <w:rPr>
          <w:b w:val="1"/>
        </w:rPr>
        <w:t>2012</w:t>
      </w:r>
    </w:p>
    <w:p>
      <w:pPr>
        <w:spacing w:lineRule="auto" w:line="276"/>
        <w:jc w:val="right"/>
        <w:rPr>
          <w:sz w:val="18"/>
        </w:rPr>
      </w:pPr>
      <w:r>
        <w:rPr>
          <w:sz w:val="18"/>
        </w:rPr>
        <w:t>RSD, million</w:t>
      </w:r>
    </w:p>
    <w:tbl>
      <w:tblPr>
        <w:tblStyle w:val="T2"/>
        <w:tblW w:w="0" w:type="auto"/>
        <w:jc w:val="center"/>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center"/>
          </w:tcPr>
          <w:p>
            <w:pPr>
              <w:spacing w:lineRule="auto" w:line="218" w:before="80" w:after="8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center"/>
          </w:tcPr>
          <w:p>
            <w:pPr>
              <w:spacing w:lineRule="auto" w:line="218" w:before="80" w:after="8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18" w:before="80" w:after="8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18"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18"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8" w:before="60" w:after="60"/>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18" w:before="60" w:after="60"/>
              <w:jc w:val="center"/>
              <w:rPr>
                <w:sz w:val="16"/>
              </w:rPr>
            </w:pPr>
            <w:r>
              <w:rPr>
                <w:sz w:val="15"/>
              </w:rPr>
              <w:t>250+ employees</w:t>
            </w:r>
          </w:p>
        </w:tc>
      </w:tr>
      <w:tr>
        <w:trPr>
          <w:wAfter w:w="0" w:type="dxa"/>
        </w:trPr>
        <w:tc>
          <w:tcPr>
            <w:tcW w:w="470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18"/>
              <w:rPr>
                <w:b w:val="1"/>
                <w:sz w:val="16"/>
              </w:rPr>
            </w:pPr>
          </w:p>
        </w:tc>
        <w:tc>
          <w:tcPr>
            <w:tcW w:w="10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r>
              <w:rPr>
                <w:b w:val="1"/>
                <w:sz w:val="15"/>
              </w:rPr>
              <w:t>REPUBLIC OF SERBIA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7818180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1355027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1769859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1681829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3011466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313741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85175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109482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80429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38655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315157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8958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298144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1989028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160136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327965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623873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877054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510821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42573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10620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15466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442162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115446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25516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32965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41281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436219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87379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97138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139231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112471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2928531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738462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886553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563688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739828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446736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59470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114556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64011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208699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47201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9986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16431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5099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283463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26587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37037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38119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181719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46984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34261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4990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12400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250818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86146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102863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49991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11818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65782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19940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15046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8158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22638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4659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2596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36227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24471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12243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2209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SEVER </w:t>
            </w:r>
            <w:r>
              <w:rPr>
                <w:b w:val="1"/>
                <w:sz w:val="16"/>
              </w:rPr>
              <w:t xml:space="preserv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5981832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1017818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1321193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1262582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2380240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266601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71661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93917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67317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33706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272619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269086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1243860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95980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192457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436054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519370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391154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42216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7425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332730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73797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11503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16223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11482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34589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328089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69415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68622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107688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82365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2356826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545018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684839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464273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662696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380415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39589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87182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55465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198179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37188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12164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12159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5099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276858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24008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33631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37501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181719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9326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228018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74911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93456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47833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11818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57775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16393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13074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7144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21164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3169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33574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24471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9701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2209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Beogradski region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3682150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598948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844225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769938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1469039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26437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12390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41015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38652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533334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55964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99243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172046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206081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315844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41962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272151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36135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2854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6985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23271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246996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49626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43504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87250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66616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1683951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310332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482988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363565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527066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206849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21015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63209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37872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84753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30719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10513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5099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262744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19721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28536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34041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180447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7877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10337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7215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195876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59045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80225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46288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10319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46474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12353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9478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18885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27721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20734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6666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1537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227"/>
              <w:rPr>
                <w:b w:val="1"/>
                <w:sz w:val="15"/>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b w:val="1"/>
                <w:sz w:val="16"/>
              </w:rPr>
            </w:pPr>
            <w:r>
              <w:rPr>
                <w:b w:val="1"/>
                <w:sz w:val="16"/>
              </w:rPr>
              <w:t xml:space="preserve">Region Vojvodine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2299681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418870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476967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492643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911201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240164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67185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88143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63519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21316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231604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230434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710526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40015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93214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264007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313289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75310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6730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60579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37662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8649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9238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11318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81093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19789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25118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20438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15748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672875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234685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201851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100708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135630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173566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18574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23973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17593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113426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6469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bl>
    <w:p>
      <w:pPr>
        <w:spacing w:after="40"/>
        <w:rPr>
          <w:b w:val="1"/>
        </w:rPr>
      </w:pPr>
    </w:p>
    <w:p>
      <w:pPr>
        <w:spacing w:after="40"/>
      </w:pPr>
      <w:r>
        <w:rPr>
          <w:b w:val="1"/>
        </w:rPr>
        <w:t xml:space="preserve">3. </w:t>
      </w:r>
      <w:r>
        <w:rPr>
          <w:b w:val="1"/>
        </w:rPr>
        <w:t>T</w:t>
      </w:r>
      <w:r>
        <w:rPr>
          <w:b w:val="1"/>
        </w:rPr>
        <w:t>urnover by enterprise size, 2012</w:t>
      </w:r>
      <w:r>
        <w:rPr>
          <w:b w:val="1"/>
        </w:rPr>
        <w:t xml:space="preserve"> </w:t>
      </w:r>
      <w:r>
        <w:rPr>
          <w:sz w:val="18"/>
        </w:rPr>
        <w:t>(Continued)</w:t>
      </w:r>
    </w:p>
    <w:p>
      <w:pPr>
        <w:spacing w:lineRule="auto" w:line="276"/>
        <w:jc w:val="right"/>
        <w:rPr>
          <w:sz w:val="18"/>
        </w:rPr>
      </w:pPr>
      <w:r>
        <w:rPr>
          <w:sz w:val="18"/>
        </w:rPr>
        <w:t>RSD, million</w:t>
      </w:r>
    </w:p>
    <w:tbl>
      <w:tblPr>
        <w:tblStyle w:val="T2"/>
        <w:tblW w:w="0" w:type="auto"/>
        <w:jc w:val="center"/>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center"/>
          </w:tcPr>
          <w:p>
            <w:pPr>
              <w:spacing w:lineRule="auto" w:line="218" w:before="80" w:after="8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center"/>
          </w:tcPr>
          <w:p>
            <w:pPr>
              <w:spacing w:lineRule="auto" w:line="218" w:before="80" w:after="8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18" w:before="80" w:after="8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18"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18" w:before="60" w:after="60"/>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8" w:before="60" w:after="60"/>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18" w:before="60" w:after="60"/>
              <w:jc w:val="center"/>
              <w:rPr>
                <w:sz w:val="16"/>
              </w:rPr>
            </w:pPr>
            <w:r>
              <w:rPr>
                <w:sz w:val="15"/>
              </w:rPr>
              <w:t>250+ employees</w:t>
            </w:r>
          </w:p>
        </w:tc>
      </w:tr>
      <w:tr>
        <w:trPr>
          <w:wAfter w:w="0" w:type="dxa"/>
        </w:trPr>
        <w:tc>
          <w:tcPr>
            <w:tcW w:w="470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18"/>
              <w:rPr>
                <w:b w:val="1"/>
                <w:sz w:val="16"/>
              </w:rPr>
            </w:pPr>
          </w:p>
        </w:tc>
        <w:tc>
          <w:tcPr>
            <w:tcW w:w="10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ind w:left="340"/>
              <w:rPr>
                <w:color w:val="000000"/>
                <w:sz w:val="16"/>
              </w:rPr>
            </w:pPr>
            <w:r>
              <w:rPr>
                <w:color w:val="000000"/>
                <w:sz w:val="15"/>
              </w:rPr>
              <w:t>Information and communication</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14114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1273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32141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15866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13231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1499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2279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5853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3737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3035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672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JUG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1836348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337209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448666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419247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631226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47141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13514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15565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13112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4949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42538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5300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29058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745168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64156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135507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187820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357684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119667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8042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109432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41649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9294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21483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6692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108130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17964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28517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31543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30106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571705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193444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201714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99415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77132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66320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19881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27373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8547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10520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10014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6604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37658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33088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4179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22800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11235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9407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8007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1473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2542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Šumadije i Zapadne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1138092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212930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311304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261052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352806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32287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12454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5378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4949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16203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4596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4220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483800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47673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93438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138536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204153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63175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57643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Water supply; sewerage, waste management and remediation 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24003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7132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10211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4137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71345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11344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16772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17291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25938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367396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114327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139721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65913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47435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43934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12101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20966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6969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3898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6744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3014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14958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7291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3960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Južne i Istočne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698256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124279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137362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w:t>
            </w:r>
            <w:r>
              <w:rPr>
                <w:b w:val="1"/>
                <w:sz w:val="16"/>
              </w:rPr>
              <w:t>58195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278420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14853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26335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24838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261368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16483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42069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49284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153531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56492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51789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17646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11273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2555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36785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11745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14252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4168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204309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79117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61993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33502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29697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22386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6622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3591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36787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32717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3746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7842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4047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1473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Kosovo i Metohija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w:t>
            </w:r>
          </w:p>
        </w:tc>
      </w:tr>
    </w:tbl>
    <w:p>
      <w:pPr>
        <w:spacing w:after="40"/>
        <w:rPr>
          <w:b w:val="1"/>
        </w:rPr>
      </w:pPr>
      <w:r>
        <w:rPr>
          <w:b w:val="1"/>
        </w:rPr>
        <w:t xml:space="preserve">4. </w:t>
      </w:r>
      <w:r>
        <w:rPr>
          <w:b w:val="1"/>
        </w:rPr>
        <w:t>Gross value</w:t>
      </w:r>
      <w:r>
        <w:rPr>
          <w:b w:val="1"/>
        </w:rPr>
        <w:t xml:space="preserve"> added, by enterprise size</w:t>
      </w:r>
      <w:r>
        <w:rPr>
          <w:b w:val="1"/>
        </w:rPr>
        <w:t xml:space="preserve">, </w:t>
      </w:r>
      <w:r>
        <w:rPr>
          <w:b w:val="1"/>
        </w:rPr>
        <w:t>2012</w:t>
      </w:r>
    </w:p>
    <w:p>
      <w:pPr>
        <w:spacing w:lineRule="auto" w:line="276"/>
        <w:jc w:val="right"/>
        <w:rPr>
          <w:sz w:val="18"/>
        </w:rPr>
      </w:pPr>
      <w:r>
        <w:rPr>
          <w:sz w:val="18"/>
        </w:rPr>
        <w:t>RSD, million</w:t>
      </w:r>
    </w:p>
    <w:tbl>
      <w:tblPr>
        <w:tblStyle w:val="T2"/>
        <w:tblW w:w="0" w:type="auto"/>
        <w:jc w:val="center"/>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center"/>
          </w:tcPr>
          <w:p>
            <w:pPr>
              <w:spacing w:lineRule="auto" w:line="223" w:before="80" w:after="8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23"/>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23"/>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3"/>
              <w:jc w:val="center"/>
              <w:rPr>
                <w:sz w:val="16"/>
              </w:rPr>
            </w:pPr>
            <w:r>
              <w:rPr>
                <w:sz w:val="15"/>
              </w:rPr>
              <w:t>250+ employees</w:t>
            </w:r>
          </w:p>
        </w:tc>
      </w:tr>
      <w:tr>
        <w:trPr>
          <w:wAfter w:w="0" w:type="dxa"/>
        </w:trPr>
        <w:tc>
          <w:tcPr>
            <w:tcW w:w="470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3"/>
              <w:rPr>
                <w:b w:val="1"/>
                <w:sz w:val="16"/>
              </w:rPr>
            </w:pPr>
          </w:p>
        </w:tc>
        <w:tc>
          <w:tcPr>
            <w:tcW w:w="10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r>
              <w:rPr>
                <w:b w:val="1"/>
                <w:sz w:val="15"/>
              </w:rPr>
              <w:t>REPUBLIC OF SERBIA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1539684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163426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280026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321980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774252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54873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17072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18012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14813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144670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144224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415936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22450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60666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124853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207967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96054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90287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40009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5329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12648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20586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106341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14956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21581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29870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39934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279142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62506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86192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60513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69931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107863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9988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22052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17137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58686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15892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7277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134310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7193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14278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17239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95600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583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13841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7483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5479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70790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22192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25414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16337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6847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40231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13617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16769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9628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996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SEVER </w:t>
            </w:r>
            <w:r>
              <w:rPr>
                <w:b w:val="1"/>
                <w:sz w:val="16"/>
              </w:rPr>
              <w:t xml:space="preserv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1185344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126844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211089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238297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609113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49185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14838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16107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14328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122465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125306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266723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14405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36220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84054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132044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54912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51127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24450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15634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77328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11874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15242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20623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29589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Wholesale and retail trade; repair of motor vehicles/cycles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225396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47991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67470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50253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59682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91170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6411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13872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55212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12715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5499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131789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12944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16885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95599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13292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7234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63329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19422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21553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15507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6847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37285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13093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15630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7848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4816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3078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996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17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Beogradski region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757108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83718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135924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142403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395063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9511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7484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24086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27282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115805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9122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18743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36507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51433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41510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40709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12549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9694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58051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14813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25410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167959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28745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49011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40717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49486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80842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8641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8251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60498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10812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4704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124701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10389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15103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94096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12007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55090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15255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17113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14557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8164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32826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11918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3724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13963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6194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3947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Activities of households as employers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b w:val="1"/>
                <w:sz w:val="16"/>
              </w:rPr>
            </w:pPr>
            <w:r>
              <w:rPr>
                <w:b w:val="1"/>
                <w:sz w:val="16"/>
              </w:rPr>
              <w:t xml:space="preserve">Region Vojvodine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428236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43126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75165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95894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214050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39674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13597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15792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6844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98379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98024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150918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17477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47547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80611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13403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10418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Water supply; sewerage, waste management and remediation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11900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5940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19277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5716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5810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4180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57438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19246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18459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9536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10196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10328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2958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-5286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1903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ind w:left="340"/>
              <w:rPr>
                <w:color w:val="000000"/>
                <w:sz w:val="16"/>
              </w:rPr>
            </w:pPr>
            <w:r>
              <w:rPr>
                <w:color w:val="000000"/>
                <w:sz w:val="15"/>
              </w:rPr>
              <w:t>Information and communication</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7089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1503</w:t>
            </w:r>
          </w:p>
        </w:tc>
      </w:tr>
    </w:tbl>
    <w:p>
      <w:pPr>
        <w:spacing w:after="40"/>
        <w:rPr>
          <w:b w:val="1"/>
        </w:rPr>
      </w:pPr>
      <w:r>
        <w:rPr>
          <w:b w:val="1"/>
        </w:rPr>
        <w:t xml:space="preserve">4. </w:t>
      </w:r>
      <w:r>
        <w:rPr>
          <w:b w:val="1"/>
        </w:rPr>
        <w:t>Gross value</w:t>
      </w:r>
      <w:r>
        <w:rPr>
          <w:b w:val="1"/>
        </w:rPr>
        <w:t xml:space="preserve"> added, by enterprise size, 2012 </w:t>
      </w:r>
      <w:r>
        <w:rPr>
          <w:sz w:val="18"/>
        </w:rPr>
        <w:t>(Continued)</w:t>
      </w:r>
    </w:p>
    <w:p>
      <w:pPr>
        <w:spacing w:lineRule="auto" w:line="276"/>
        <w:jc w:val="right"/>
        <w:rPr>
          <w:sz w:val="18"/>
        </w:rPr>
      </w:pPr>
      <w:r>
        <w:rPr>
          <w:sz w:val="18"/>
        </w:rPr>
        <w:t>RSD, million</w:t>
      </w:r>
    </w:p>
    <w:tbl>
      <w:tblPr>
        <w:tblStyle w:val="T2"/>
        <w:tblW w:w="0" w:type="auto"/>
        <w:jc w:val="center"/>
        <w:tblLayout w:type="autofit"/>
        <w:tblCellMar>
          <w:left w:w="28" w:type="dxa"/>
          <w:right w:w="28" w:type="dxa"/>
        </w:tblCellMar>
      </w:tblPr>
      <w:tblGrid/>
      <w:tr>
        <w:trPr>
          <w:wAfter w:w="0" w:type="dxa"/>
        </w:trPr>
        <w:tc>
          <w:tcPr>
            <w:tcW w:w="4706" w:type="dxa"/>
            <w:vMerge w:val="restart"/>
            <w:tcBorders>
              <w:top w:val="single" w:sz="4" w:space="0" w:shadow="0" w:frame="0"/>
              <w:left w:val="none" w:sz="0" w:space="0" w:shadow="0" w:frame="0"/>
              <w:right w:val="single" w:sz="4" w:space="0" w:shadow="0" w:frame="0"/>
            </w:tcBorders>
            <w:vAlign w:val="center"/>
          </w:tcPr>
          <w:p>
            <w:pPr>
              <w:spacing w:lineRule="auto" w:line="223" w:before="80" w:after="80"/>
              <w:jc w:val="center"/>
              <w:rPr>
                <w:sz w:val="16"/>
              </w:rPr>
            </w:pPr>
          </w:p>
        </w:tc>
        <w:tc>
          <w:tcPr>
            <w:tcW w:w="1021" w:type="dxa"/>
            <w:vMerge w:val="restart"/>
            <w:tcBorders>
              <w:top w:val="single" w:sz="4" w:space="0" w:shadow="0" w:frame="0"/>
              <w:left w:val="single" w:sz="4" w:space="0" w:shadow="0" w:frame="0"/>
              <w:right w:val="single" w:sz="4" w:space="0" w:shadow="0" w:frame="0"/>
            </w:tcBorders>
            <w:vAlign w:val="center"/>
          </w:tcPr>
          <w:p>
            <w:pPr>
              <w:spacing w:lineRule="auto" w:line="223" w:before="60" w:after="60"/>
              <w:jc w:val="center"/>
              <w:rPr>
                <w:sz w:val="15"/>
              </w:rPr>
            </w:pPr>
            <w:r>
              <w:rPr>
                <w:sz w:val="15"/>
              </w:rPr>
              <w:t>Total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Micro</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Small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80" w:after="80"/>
              <w:jc w:val="center"/>
              <w:rPr>
                <w:sz w:val="15"/>
              </w:rPr>
            </w:pPr>
            <w:r>
              <w:rPr>
                <w:sz w:val="15"/>
              </w:rPr>
              <w:t>Medium</w:t>
            </w:r>
          </w:p>
        </w:tc>
        <w:tc>
          <w:tcPr>
            <w:tcW w:w="1021" w:type="dxa"/>
            <w:tcBorders>
              <w:top w:val="single" w:sz="4" w:space="0" w:shadow="0" w:frame="0"/>
              <w:left w:val="single" w:sz="4" w:space="0" w:shadow="0" w:frame="0"/>
              <w:bottom w:val="single" w:sz="4" w:space="0" w:shadow="0" w:frame="0"/>
            </w:tcBorders>
            <w:vAlign w:val="center"/>
          </w:tcPr>
          <w:p>
            <w:pPr>
              <w:spacing w:lineRule="auto" w:line="223" w:before="80" w:after="80"/>
              <w:jc w:val="center"/>
              <w:rPr>
                <w:sz w:val="15"/>
              </w:rPr>
            </w:pPr>
            <w:r>
              <w:rPr>
                <w:sz w:val="15"/>
              </w:rPr>
              <w:t>Large</w:t>
            </w:r>
          </w:p>
        </w:tc>
      </w:tr>
      <w:tr>
        <w:trPr>
          <w:wAfter w:w="0" w:type="dxa"/>
        </w:trPr>
        <w:tc>
          <w:tcPr>
            <w:tcW w:w="4706" w:type="dxa"/>
            <w:vMerge w:val="continue"/>
            <w:tcBorders>
              <w:left w:val="none" w:sz="0"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vMerge w:val="continue"/>
            <w:tcBorders>
              <w:left w:val="single" w:sz="4" w:space="0" w:shadow="0" w:frame="0"/>
              <w:bottom w:val="single" w:sz="4" w:space="0" w:shadow="0" w:frame="0"/>
              <w:right w:val="single" w:sz="4" w:space="0" w:shadow="0" w:frame="0"/>
            </w:tcBorders>
            <w:vAlign w:val="center"/>
          </w:tcPr>
          <w:p>
            <w:pPr>
              <w:spacing w:lineRule="auto" w:line="223" w:before="80" w:after="80"/>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0–9</w:t>
            </w:r>
          </w:p>
          <w:p>
            <w:pPr>
              <w:spacing w:lineRule="auto" w:line="223"/>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5"/>
              </w:rPr>
            </w:pPr>
            <w:r>
              <w:rPr>
                <w:sz w:val="15"/>
              </w:rPr>
              <w:t>10–49</w:t>
            </w:r>
          </w:p>
          <w:p>
            <w:pPr>
              <w:spacing w:lineRule="auto" w:line="223"/>
              <w:jc w:val="center"/>
              <w:rPr>
                <w:sz w:val="16"/>
              </w:rPr>
            </w:pPr>
            <w:r>
              <w:rPr>
                <w:sz w:val="15"/>
              </w:rPr>
              <w:t>employees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jc w:val="center"/>
              <w:rPr>
                <w:sz w:val="16"/>
              </w:rPr>
            </w:pPr>
            <w:r>
              <w:rPr>
                <w:sz w:val="15"/>
              </w:rPr>
              <w:t>50–249 employees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3"/>
              <w:jc w:val="center"/>
              <w:rPr>
                <w:sz w:val="16"/>
              </w:rPr>
            </w:pPr>
            <w:r>
              <w:rPr>
                <w:sz w:val="15"/>
              </w:rPr>
              <w:t>250+ employees</w:t>
            </w:r>
          </w:p>
        </w:tc>
      </w:tr>
      <w:tr>
        <w:trPr>
          <w:wAfter w:w="0" w:type="dxa"/>
        </w:trPr>
        <w:tc>
          <w:tcPr>
            <w:tcW w:w="470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3"/>
              <w:rPr>
                <w:b w:val="1"/>
                <w:sz w:val="16"/>
              </w:rPr>
            </w:pPr>
          </w:p>
        </w:tc>
        <w:tc>
          <w:tcPr>
            <w:tcW w:w="10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c>
          <w:tcPr>
            <w:tcW w:w="1021" w:type="dxa"/>
            <w:tcBorders>
              <w:top w:val="single" w:sz="4" w:space="0" w:shadow="0" w:frame="0"/>
              <w:left w:val="none" w:sz="0" w:space="0" w:shadow="0" w:frame="0"/>
              <w:bottom w:val="none" w:sz="0" w:space="0" w:shadow="0" w:frame="0"/>
              <w:right w:val="none" w:sz="0" w:space="0" w:shadow="0" w:frame="0"/>
            </w:tcBorders>
            <w:vAlign w:val="bottom"/>
          </w:tcPr>
          <w:p>
            <w:pPr>
              <w:spacing w:lineRule="auto" w:line="223"/>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8239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-1317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4460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1667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1654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869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170"/>
              <w:rPr>
                <w:b w:val="1"/>
                <w:sz w:val="16"/>
              </w:rPr>
            </w:pPr>
            <w:r>
              <w:rPr>
                <w:b w:val="1"/>
                <w:sz w:val="16"/>
              </w:rPr>
              <w:t xml:space="preserve">SRBIJA – JUG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354340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36582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68937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83684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165138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5688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22205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859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18917</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149213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8045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24447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40798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75923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41142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39160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Water supply; sewerage, waste management and remediation ac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15560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8202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4952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29012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9247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10344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53746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14514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18722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10260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10250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16693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3475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3177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2521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7461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3861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2946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549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1139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208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1780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170"/>
              <w:jc w:val="both"/>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599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18"/>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Šumadije i Zapadne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217183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24215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45952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54880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92136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3552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879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9383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6695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103721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5971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17406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30166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50178</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15146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14256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Water supply; sewerage, waste management and remediation a.</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8550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1433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2976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19431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4816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9004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35350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9241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12147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6313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7650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10327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2339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2335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983</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272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4185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1832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591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1484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1056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Južne i Istočne Srbije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137157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12367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22985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28803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b w:val="1"/>
                <w:sz w:val="16"/>
              </w:rPr>
            </w:pPr>
            <w:r>
              <w:rPr>
                <w:b w:val="1"/>
                <w:sz w:val="16"/>
              </w:rPr>
              <w:t>73002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Agriculture, forestry and fishing</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2137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778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Mining and quarrying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12821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12222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Manufacturing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45492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2074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7041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10632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25745</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Electricity, gas and steam supply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25996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24904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Water supply; sewerage, waste management and remediation 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7009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567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4362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1976</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Construction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9581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2534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4431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1340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Wholesale and retail trade; repair of motor vehicles/cycles</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18396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5273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6575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3947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2600</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Transportation and storage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6366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1706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2492</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Accommodation and food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885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351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color w:val="000000"/>
                <w:sz w:val="15"/>
              </w:rPr>
              <w:t xml:space="preserve">Information and communication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1382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681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Financial and insurance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968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412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584</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Real estate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107</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46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Professional, scientific and technical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3276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2098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Administrative and support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1888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1139</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Public administration and defence; compulsory social security</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21</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Education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248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192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55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Human health and social work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68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Art, entertainment and recreation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296</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38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229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35"/>
              <w:ind w:left="340"/>
              <w:rPr>
                <w:sz w:val="15"/>
              </w:rPr>
            </w:pPr>
            <w:r>
              <w:rPr>
                <w:sz w:val="15"/>
              </w:rPr>
              <w:t xml:space="preserve">Other service activities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8"/>
              <w:ind w:right="113"/>
              <w:jc w:val="right"/>
              <w:rPr>
                <w:sz w:val="16"/>
              </w:rPr>
            </w:pPr>
            <w:r>
              <w:rPr>
                <w:sz w:val="16"/>
              </w:rPr>
              <w:t>219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93</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102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8"/>
              <w:ind w:right="113"/>
              <w:jc w:val="right"/>
              <w:rPr>
                <w:sz w:val="16"/>
              </w:rPr>
            </w:pPr>
            <w:r>
              <w:rPr>
                <w:sz w:val="16"/>
              </w:rPr>
              <w:t>-</w:t>
            </w: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sz w:val="16"/>
              </w:rPr>
            </w:pP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sz w:val="16"/>
              </w:rPr>
            </w:pPr>
          </w:p>
        </w:tc>
      </w:tr>
      <w:tr>
        <w:trPr>
          <w:wAfter w:w="0" w:type="dxa"/>
        </w:trPr>
        <w:tc>
          <w:tcPr>
            <w:tcW w:w="4706" w:type="dxa"/>
            <w:tcBorders>
              <w:top w:val="none" w:sz="0" w:space="0" w:shadow="0" w:frame="0"/>
              <w:left w:val="none" w:sz="0" w:space="0" w:shadow="0" w:frame="0"/>
              <w:bottom w:val="none" w:sz="0" w:space="0" w:shadow="0" w:frame="0"/>
              <w:right w:val="single" w:sz="4" w:space="0" w:shadow="0" w:frame="0"/>
            </w:tcBorders>
          </w:tcPr>
          <w:p>
            <w:pPr>
              <w:spacing w:lineRule="auto" w:line="223"/>
              <w:ind w:left="340"/>
              <w:rPr>
                <w:b w:val="1"/>
                <w:sz w:val="16"/>
              </w:rPr>
            </w:pPr>
            <w:r>
              <w:rPr>
                <w:b w:val="1"/>
                <w:sz w:val="16"/>
              </w:rPr>
              <w:t xml:space="preserve">Region Kosovo i Metohija </w:t>
            </w:r>
          </w:p>
        </w:tc>
        <w:tc>
          <w:tcPr>
            <w:tcW w:w="10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b w:val="1"/>
                <w:sz w:val="16"/>
              </w:rPr>
            </w:pPr>
            <w:r>
              <w:rPr>
                <w:b w:val="1"/>
                <w:sz w:val="16"/>
              </w:rPr>
              <w:t>…</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13"/>
              <w:jc w:val="right"/>
              <w:rPr>
                <w:b w:val="1"/>
                <w:sz w:val="16"/>
              </w:rPr>
            </w:pPr>
            <w:r>
              <w:rPr>
                <w:b w:val="1"/>
                <w:sz w:val="16"/>
              </w:rPr>
              <w:t>…</w:t>
            </w:r>
          </w:p>
        </w:tc>
      </w:tr>
    </w:tbl>
    <w:p>
      <w:pPr>
        <w:spacing w:lineRule="auto" w:line="264"/>
        <w:rPr>
          <w:b w:val="1"/>
          <w:sz w:val="22"/>
        </w:rPr>
      </w:pPr>
    </w:p>
    <w:p>
      <w:pPr>
        <w:spacing w:lineRule="auto" w:line="264"/>
        <w:rPr>
          <w:b w:val="1"/>
          <w:sz w:val="22"/>
        </w:rPr>
      </w:pPr>
      <w:r>
        <w:rPr>
          <w:b w:val="1"/>
          <w:sz w:val="22"/>
        </w:rPr>
        <w:t xml:space="preserve">(1)  Number of enterprises by size </w:t>
      </w:r>
    </w:p>
    <w:p>
      <w:pPr>
        <w:spacing w:lineRule="auto" w:line="264"/>
        <w:rPr>
          <w:b w:val="1"/>
          <w:sz w:val="22"/>
        </w:rPr>
      </w:pPr>
    </w:p>
    <w:p>
      <w:pPr>
        <w:spacing w:lineRule="auto" w:line="264"/>
        <w:ind w:firstLine="397"/>
        <w:jc w:val="both"/>
        <w:rPr>
          <w:sz w:val="22"/>
        </w:rPr>
      </w:pPr>
      <w:r>
        <w:rPr>
          <w:sz w:val="22"/>
        </w:rPr>
        <w:t xml:space="preserve">On the grounds of the available data, it can be stated that the calculation of macroeconomic aggregates covered 91536 enterprises in the Republic of Serbia. In 2012, of the total number of enterprises, 63505 enterprises (69.4%) were active in Srbija – sever, and 28031 enterprises (30.6%) were active in Srbija – jug. </w:t>
      </w:r>
    </w:p>
    <w:p>
      <w:pPr>
        <w:spacing w:lineRule="auto" w:line="264"/>
        <w:ind w:firstLine="397"/>
        <w:jc w:val="both"/>
        <w:rPr>
          <w:sz w:val="22"/>
        </w:rPr>
      </w:pPr>
    </w:p>
    <w:p>
      <w:pPr>
        <w:spacing w:lineRule="auto" w:line="264"/>
        <w:ind w:firstLine="397"/>
        <w:jc w:val="both"/>
        <w:rPr>
          <w:sz w:val="22"/>
        </w:rPr>
      </w:pPr>
      <w:r>
        <w:rPr>
          <w:sz w:val="22"/>
        </w:rPr>
        <w:t xml:space="preserve">The total number of 91536 enterprises in the Republic of Serbia in 2012 is distributed by size as follows: 79189 micro-sized enterprises (86.5%), 9699 small-sized enterprises (10.6%), 2142 medium-sized enterprises (2.3%) and 506 large enterprises (0.6%). </w:t>
      </w:r>
    </w:p>
    <w:p>
      <w:pPr>
        <w:spacing w:lineRule="auto" w:line="264"/>
        <w:ind w:firstLine="397"/>
        <w:jc w:val="both"/>
        <w:rPr>
          <w:sz w:val="22"/>
        </w:rPr>
      </w:pPr>
    </w:p>
    <w:p>
      <w:pPr>
        <w:spacing w:lineRule="auto" w:line="264"/>
        <w:ind w:firstLine="397"/>
        <w:jc w:val="both"/>
        <w:rPr>
          <w:sz w:val="22"/>
        </w:rPr>
      </w:pPr>
      <w:r>
        <w:rPr>
          <w:sz w:val="22"/>
        </w:rPr>
        <w:t>Of total 63505 enterprises in the territory of Srbija – sever registered in 2012, there were 55586 micro-sized enterprises (87.5%), 6287 small-sized enterprises (9.9%), 1301 medium-sized enterprises (2.1%) and 331 large enterprises (0.5%). In the territory of Srbija – jug in 2012 we registered 28031 enterprises, of which: micro-sized 23603 (84.2%), small-sized 3412 (12.2%), medium-sized 841 (3.0%) and large 175 (0.6%).</w:t>
      </w:r>
    </w:p>
    <w:p>
      <w:pPr>
        <w:spacing w:lineRule="auto" w:line="264"/>
        <w:ind w:firstLine="397"/>
        <w:jc w:val="both"/>
        <w:rPr>
          <w:sz w:val="22"/>
        </w:rPr>
      </w:pPr>
    </w:p>
    <w:p>
      <w:pPr>
        <w:spacing w:lineRule="auto" w:line="264"/>
        <w:ind w:firstLine="397"/>
        <w:jc w:val="both"/>
        <w:rPr>
          <w:sz w:val="22"/>
        </w:rPr>
      </w:pPr>
      <w:r>
        <w:rPr>
          <w:sz w:val="22"/>
        </w:rPr>
        <w:t xml:space="preserve">Observed by the sections of CA (2010), on the level of the Republic of Serbia, the largest share in the total number of enterprises was noted for wholesale and retail trade; repair of motor vehicles and motorcycles (35.7%), manufacturing (18.5%), professional, scientific and technical activities (11.7%), construction (8.0%), transportation and storage (5.4%), etc. </w:t>
      </w:r>
    </w:p>
    <w:p>
      <w:pPr>
        <w:spacing w:lineRule="auto" w:line="264" w:before="480" w:after="240"/>
        <w:rPr>
          <w:b w:val="1"/>
          <w:sz w:val="22"/>
        </w:rPr>
      </w:pPr>
      <w:r>
        <w:rPr>
          <w:b w:val="1"/>
          <w:sz w:val="22"/>
        </w:rPr>
        <w:t xml:space="preserve">(2) </w:t>
      </w:r>
      <w:r>
        <w:rPr>
          <w:b w:val="1"/>
          <w:sz w:val="22"/>
        </w:rPr>
        <w:t>Number of employees by enterprise size</w:t>
      </w:r>
    </w:p>
    <w:p>
      <w:pPr>
        <w:spacing w:lineRule="auto" w:line="264" w:before="480" w:after="240"/>
        <w:ind w:firstLine="397"/>
        <w:jc w:val="both"/>
        <w:rPr>
          <w:sz w:val="22"/>
        </w:rPr>
      </w:pPr>
      <w:r>
        <w:rPr>
          <w:sz w:val="22"/>
        </w:rPr>
        <w:t>The enterprises in the Republic of Serbia in 2012 employed 994479 persons. There were 661422 employed persons (66.5%) in the territory of Srbija – sever and 333057 (33.5%) in the territory of Srbija – jug.</w:t>
      </w:r>
    </w:p>
    <w:p>
      <w:pPr>
        <w:spacing w:lineRule="auto" w:line="264" w:before="480" w:after="240"/>
        <w:ind w:firstLine="397"/>
        <w:jc w:val="both"/>
        <w:rPr>
          <w:sz w:val="22"/>
        </w:rPr>
      </w:pPr>
      <w:r>
        <w:rPr>
          <w:sz w:val="22"/>
        </w:rPr>
        <w:t>The share of persons employed in micro enterprises, observed by territories, was rather uniform: 15.5% observed on the level of the Republic of Serbia, 15.9% in Srbija – sever and 14.5% in Srbija – jug. Small enterprises participated with 19.7% in the number of employed in the Republic of Serbia, with 19.2% in Srbija – sever and with 20.9% in Srbija – jug.</w:t>
      </w:r>
    </w:p>
    <w:p>
      <w:pPr>
        <w:spacing w:lineRule="auto" w:line="264" w:before="480" w:after="240"/>
        <w:ind w:firstLine="397"/>
        <w:jc w:val="both"/>
        <w:rPr>
          <w:sz w:val="22"/>
        </w:rPr>
      </w:pPr>
      <w:r>
        <w:rPr>
          <w:sz w:val="22"/>
        </w:rPr>
        <w:t xml:space="preserve">Regarding medium-sized and large enterprises, the share of employees regarded by territories differed: medium-sized enterprises on the level of the Republic of Serbia had the share of 22.6%; the share for Srbija – sever equalled 20.6% and for Srbija – jug it equalled 26.5%. Considering large enterprises, the share was 42.2% for the Republic of Serbia level, 44.3% for Srbija – sever and 38.1% for Srbija – jug. </w:t>
      </w:r>
    </w:p>
    <w:p>
      <w:pPr>
        <w:spacing w:lineRule="auto" w:line="264" w:before="480" w:after="240"/>
        <w:ind w:firstLine="397"/>
        <w:jc w:val="both"/>
        <w:rPr>
          <w:b w:val="1"/>
          <w:sz w:val="22"/>
        </w:rPr>
      </w:pPr>
      <w:r>
        <w:rPr>
          <w:sz w:val="22"/>
        </w:rPr>
        <w:t>Observed by the sections of CA (2010), the greatest share in total number of employed in the Republic of Serbia in 2012 was expressed for the following sections: manufacturing – 316157 employed persons, wholesale and retail trade; repair of motor vehicles – 193601 employed persons, transportation and storage – 94770 employed persons, etc.</w:t>
      </w:r>
    </w:p>
    <w:p>
      <w:pPr>
        <w:spacing w:lineRule="auto" w:line="264" w:before="480" w:after="240"/>
        <w:rPr>
          <w:b w:val="1"/>
          <w:sz w:val="22"/>
        </w:rPr>
      </w:pPr>
    </w:p>
    <w:p>
      <w:pPr>
        <w:spacing w:lineRule="auto" w:line="264" w:before="480" w:after="240"/>
        <w:rPr>
          <w:b w:val="1"/>
          <w:sz w:val="22"/>
        </w:rPr>
      </w:pPr>
    </w:p>
    <w:p>
      <w:pPr>
        <w:spacing w:lineRule="auto" w:line="264" w:before="480" w:after="240"/>
        <w:rPr>
          <w:b w:val="1"/>
          <w:sz w:val="22"/>
        </w:rPr>
      </w:pPr>
      <w:r>
        <w:rPr>
          <w:b w:val="1"/>
          <w:sz w:val="22"/>
        </w:rPr>
        <w:t xml:space="preserve">(3) </w:t>
      </w:r>
      <w:r>
        <w:rPr>
          <w:b w:val="1"/>
          <w:sz w:val="22"/>
        </w:rPr>
        <w:t>Turnover by enterprise size</w:t>
      </w:r>
    </w:p>
    <w:p>
      <w:pPr>
        <w:spacing w:lineRule="auto" w:line="264" w:before="480" w:after="240"/>
        <w:ind w:firstLine="397"/>
        <w:jc w:val="both"/>
        <w:rPr>
          <w:sz w:val="22"/>
        </w:rPr>
      </w:pPr>
      <w:r>
        <w:rPr>
          <w:sz w:val="22"/>
        </w:rPr>
        <w:t>Regarding the territorial distribution of turnover, it is notable that enterprises from the territory of Srbija – sever made 76.5% of the total turnover, while the share of enterprises from Srbija – jug equalled 23.5%.</w:t>
      </w:r>
    </w:p>
    <w:p>
      <w:pPr>
        <w:spacing w:lineRule="auto" w:line="264" w:before="480" w:after="240"/>
        <w:ind w:firstLine="397"/>
        <w:jc w:val="both"/>
        <w:rPr>
          <w:sz w:val="22"/>
        </w:rPr>
      </w:pPr>
      <w:r>
        <w:rPr>
          <w:sz w:val="22"/>
        </w:rPr>
        <w:t>According to enterprise size, the turnover made in the Republic of Serbia was distributed as follows: 17.3% - micro enterprises, 22.7% - small enterprises, 21.5% - medium enterprises and 38.5% - large enterprises.</w:t>
      </w:r>
    </w:p>
    <w:p>
      <w:pPr>
        <w:spacing w:lineRule="auto" w:line="264" w:before="480" w:after="240"/>
        <w:ind w:firstLine="397"/>
        <w:jc w:val="both"/>
        <w:rPr>
          <w:sz w:val="22"/>
        </w:rPr>
      </w:pPr>
      <w:r>
        <w:rPr>
          <w:sz w:val="22"/>
        </w:rPr>
        <w:t xml:space="preserve">Regarding the enterprises in Srbija – sever, the distribution of turnover was the following: 17.0% - micro, 22.1% - small, 21.1% - medium and 39.8% - large enterprises. </w:t>
      </w:r>
    </w:p>
    <w:p>
      <w:pPr>
        <w:spacing w:lineRule="auto" w:line="264" w:before="480" w:after="240"/>
        <w:ind w:firstLine="397"/>
        <w:jc w:val="both"/>
        <w:rPr>
          <w:sz w:val="22"/>
        </w:rPr>
      </w:pPr>
      <w:r>
        <w:rPr>
          <w:sz w:val="22"/>
        </w:rPr>
        <w:t xml:space="preserve">On the territory of Srbija – jug, the respective shares were 18.4% for micro, 24.4% for small, 22.8% for medium, and 34.4% for large enterprises. </w:t>
      </w:r>
    </w:p>
    <w:p>
      <w:pPr>
        <w:spacing w:lineRule="auto" w:line="264" w:before="480" w:after="240"/>
        <w:ind w:firstLine="397"/>
        <w:jc w:val="both"/>
        <w:rPr>
          <w:b w:val="1"/>
          <w:sz w:val="22"/>
        </w:rPr>
      </w:pPr>
      <w:r>
        <w:rPr>
          <w:sz w:val="22"/>
        </w:rPr>
        <w:t>Observed by activities (CA, 2010 sections), the largest share in turnover in the Republic of Serbia made the enterprises active in wholesale and retail trade and repair of motor vehicles – 37.5%, manufacturing – 25.4%, electricity, gas and steam supply – 6.5%, transportation and storage – 5.7%, etc.</w:t>
      </w:r>
      <w:r>
        <w:rPr>
          <w:b w:val="1"/>
          <w:sz w:val="22"/>
        </w:rPr>
        <w:t xml:space="preserve"> </w:t>
      </w:r>
    </w:p>
    <w:p>
      <w:pPr>
        <w:spacing w:lineRule="auto" w:line="264" w:before="480" w:after="240"/>
        <w:rPr>
          <w:b w:val="1"/>
          <w:sz w:val="22"/>
        </w:rPr>
      </w:pPr>
      <w:r>
        <w:rPr>
          <w:b w:val="1"/>
          <w:sz w:val="22"/>
        </w:rPr>
        <w:t xml:space="preserve">(4) </w:t>
      </w:r>
      <w:r>
        <w:rPr>
          <w:b w:val="1"/>
          <w:sz w:val="22"/>
        </w:rPr>
        <w:t>Gross value added by enterprise size</w:t>
      </w:r>
    </w:p>
    <w:p>
      <w:pPr>
        <w:spacing w:lineRule="auto" w:line="264" w:before="480" w:after="240"/>
        <w:ind w:firstLine="397"/>
        <w:jc w:val="both"/>
        <w:rPr>
          <w:sz w:val="22"/>
        </w:rPr>
      </w:pPr>
      <w:r>
        <w:rPr>
          <w:sz w:val="22"/>
        </w:rPr>
        <w:t>According to enterprise size, in 2012 Gross value added in the Republic of Serbia was distributed as follows: micro – 10.6 %, small – 18.2%, medium – 20.9% and large enterprises – 50.3%.</w:t>
      </w:r>
    </w:p>
    <w:p>
      <w:pPr>
        <w:spacing w:lineRule="auto" w:line="264" w:before="480" w:after="240"/>
        <w:ind w:firstLine="397"/>
        <w:jc w:val="both"/>
        <w:rPr>
          <w:sz w:val="22"/>
        </w:rPr>
      </w:pPr>
      <w:r>
        <w:rPr>
          <w:sz w:val="22"/>
        </w:rPr>
        <w:t>For the enterprises in Srbija – sever, the distribution of Gross value added was the following: micro – 10.7%, small – 17.8%, medium – 20.1% and large – 51.4%.</w:t>
      </w:r>
    </w:p>
    <w:p>
      <w:pPr>
        <w:spacing w:lineRule="auto" w:line="264" w:before="480" w:after="240"/>
        <w:ind w:firstLine="397"/>
        <w:jc w:val="both"/>
        <w:rPr>
          <w:sz w:val="22"/>
        </w:rPr>
      </w:pPr>
      <w:r>
        <w:rPr>
          <w:sz w:val="22"/>
        </w:rPr>
        <w:t xml:space="preserve">Regarding enterprises in Srbija – jug, the data relative to GVA are the following: micro – 10.3%, small – 19.5%, medium – 23.6% and large – 46.6%. </w:t>
      </w:r>
    </w:p>
    <w:p>
      <w:pPr>
        <w:spacing w:lineRule="auto" w:line="264" w:before="480" w:after="240"/>
        <w:ind w:firstLine="397"/>
        <w:jc w:val="both"/>
        <w:rPr>
          <w:sz w:val="22"/>
        </w:rPr>
      </w:pPr>
      <w:r>
        <w:rPr>
          <w:sz w:val="22"/>
        </w:rPr>
        <w:t>Presented by activities (CA, 2010 sections), the most significant share in Gross value added made in the territory of the Republic of Serbia was realized by the enterprises dealing with manufacturing – 27.0%, wholesale and retail trade and repair of motor vehicles – 18.1%, mining – 9.4%, information and communication – 8.7%, transportation and storage – 7.0%, construction – 6.9%, etc.</w:t>
      </w:r>
    </w:p>
    <w:p>
      <w:pPr>
        <w:spacing w:lineRule="auto" w:line="264" w:before="480" w:after="240"/>
        <w:rPr>
          <w:b w:val="1"/>
          <w:sz w:val="22"/>
        </w:rPr>
      </w:pPr>
    </w:p>
    <w:p>
      <w:pPr>
        <w:spacing w:lineRule="auto" w:line="264" w:before="480" w:after="240"/>
        <w:rPr>
          <w:b w:val="1"/>
          <w:sz w:val="22"/>
        </w:rPr>
      </w:pPr>
    </w:p>
    <w:p>
      <w:pPr>
        <w:spacing w:lineRule="auto" w:line="264" w:before="480" w:after="240"/>
        <w:rPr>
          <w:b w:val="1"/>
          <w:sz w:val="22"/>
        </w:rPr>
      </w:pPr>
      <w:r>
        <w:rPr>
          <w:b w:val="1"/>
          <w:sz w:val="22"/>
        </w:rPr>
        <w:t>Conclusion</w:t>
      </w:r>
    </w:p>
    <w:p>
      <w:pPr>
        <w:spacing w:lineRule="auto" w:line="264" w:before="480" w:after="240"/>
        <w:ind w:firstLine="397"/>
        <w:jc w:val="both"/>
        <w:rPr>
          <w:sz w:val="22"/>
        </w:rPr>
      </w:pPr>
      <w:r>
        <w:rPr>
          <w:sz w:val="22"/>
        </w:rPr>
        <w:t xml:space="preserve">Development strategy of small- and medium-sized enterprises and entrepreneurship is based on the professional analysis of the current situation, which is expected to ensure adequate medium-term planning for the future development of this sector in Serbia. Naturally, we ought to observe the experience related to the promotion of small- and medium-sized enterprises and entrepreneurship in the transition countries.   </w:t>
      </w:r>
    </w:p>
    <w:p>
      <w:pPr>
        <w:spacing w:lineRule="auto" w:line="264" w:before="480" w:after="240"/>
        <w:ind w:firstLine="397"/>
        <w:jc w:val="both"/>
        <w:rPr>
          <w:sz w:val="22"/>
        </w:rPr>
      </w:pPr>
      <w:r>
        <w:rPr>
          <w:sz w:val="22"/>
        </w:rPr>
        <w:t xml:space="preserve">Small- and medium-sized enterprises are taken to be among the major forces of the economic development. They spur on private initiative and entrepreneurship capacities, they are flexible and can quickly adjust to market changes, also they generate employment, induce more versatile economic activities, contribute to exports and trade, and simultaneously they stand for the main agent of competitive economy development. </w:t>
      </w:r>
    </w:p>
    <w:p>
      <w:pPr>
        <w:spacing w:lineRule="auto" w:line="264" w:before="480" w:after="240"/>
        <w:ind w:firstLine="397"/>
        <w:jc w:val="both"/>
        <w:rPr>
          <w:sz w:val="22"/>
        </w:rPr>
      </w:pPr>
      <w:r>
        <w:rPr>
          <w:sz w:val="22"/>
        </w:rPr>
        <w:t>According to overall analysis of progress of the SME sector (sector of small- and medium-sized enterprises) in the Republic of Serbia in 2012, this sector apparently becomes an increasingly significant economic segment in implementing structural reforms and it is particularly functional in reviving the overall growth and creating possibilities for new jobs.</w:t>
      </w: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jc w:val="center"/>
        <w:rPr>
          <w:b w:val="1"/>
          <w:sz w:val="18"/>
        </w:rPr>
      </w:pPr>
    </w:p>
    <w:p>
      <w:pPr>
        <w:pStyle w:val="P20"/>
        <w:ind w:firstLine="0" w:left="510"/>
        <w:jc w:val="left"/>
        <w:rPr>
          <w:rFonts w:ascii="Arial" w:hAnsi="Arial"/>
        </w:rPr>
      </w:pPr>
      <w:r>
        <w:rPr>
          <w:rFonts w:ascii="Arial" w:hAnsi="Arial"/>
        </w:rPr>
        <w:t xml:space="preserve">TEXT: </w:t>
      </w:r>
      <w:r>
        <w:rPr>
          <w:rFonts w:ascii="Arial" w:hAnsi="Arial"/>
          <w:b w:val="1"/>
        </w:rPr>
        <w:t>Milan Burzanović, Dragan Popović</w:t>
      </w:r>
      <w:r>
        <w:rPr>
          <w:rFonts w:ascii="Arial" w:hAnsi="Arial"/>
        </w:rPr>
        <w:tab/>
        <w:tab/>
        <w:t xml:space="preserve">               </w:t>
      </w:r>
    </w:p>
    <w:p>
      <w:pPr>
        <w:pStyle w:val="P20"/>
        <w:jc w:val="left"/>
        <w:rPr>
          <w:rFonts w:ascii="Arial" w:hAnsi="Arial"/>
          <w:b w:val="1"/>
        </w:rPr>
      </w:pPr>
      <w:r>
        <w:rPr>
          <w:rFonts w:ascii="Arial" w:hAnsi="Arial"/>
          <w:b w:val="1"/>
        </w:rPr>
        <w:tab/>
      </w:r>
    </w:p>
    <w:p>
      <w:pPr>
        <w:pStyle w:val="P20"/>
        <w:rPr>
          <w:rFonts w:ascii="Arial" w:hAnsi="Arial"/>
        </w:rPr>
      </w:pPr>
    </w:p>
    <w:p>
      <w:pPr>
        <w:pStyle w:val="P20"/>
        <w:rPr>
          <w:rFonts w:ascii="Arial" w:hAnsi="Arial"/>
        </w:rPr>
      </w:pPr>
    </w:p>
    <w:p>
      <w:pPr>
        <w:pStyle w:val="P20"/>
        <w:rPr>
          <w:rFonts w:ascii="Arial" w:hAnsi="Arial"/>
        </w:rPr>
      </w:pPr>
      <w:r>
        <w:rPr>
          <w:rFonts w:ascii="Arial" w:hAnsi="Arial"/>
        </w:rPr>
        <w:t>EDITORIAL BOARD</w:t>
      </w:r>
    </w:p>
    <w:p>
      <w:pPr>
        <w:pStyle w:val="P20"/>
        <w:rPr>
          <w:rFonts w:ascii="Arial" w:hAnsi="Arial"/>
        </w:rPr>
      </w:pPr>
    </w:p>
    <w:p>
      <w:pPr>
        <w:pStyle w:val="P20"/>
        <w:rPr>
          <w:rFonts w:ascii="Arial" w:hAnsi="Arial"/>
        </w:rPr>
      </w:pPr>
      <w:r>
        <w:rPr>
          <w:rFonts w:ascii="Arial" w:hAnsi="Arial"/>
        </w:rPr>
        <w:t>Editor in chief: Zoran Janičić</w:t>
      </w:r>
    </w:p>
    <w:p>
      <w:pPr>
        <w:pStyle w:val="P20"/>
        <w:rPr>
          <w:rFonts w:ascii="Arial" w:hAnsi="Arial"/>
          <w:b w:val="1"/>
        </w:rPr>
      </w:pPr>
      <w:r>
        <w:rPr>
          <w:rFonts w:ascii="Arial" w:hAnsi="Arial"/>
        </w:rPr>
        <w:t xml:space="preserve">Members: Snežana Lakčević, Sunčica Šestić, Olga Melovski Trpinac, Ljiljana Đorđević, Ljiljana Sekulić, </w:t>
        <w:tab/>
        <w:tab/>
        <w:t>Dragan Popović</w:t>
      </w:r>
      <w:r>
        <w:rPr>
          <w:rFonts w:ascii="Arial" w:hAnsi="Arial"/>
          <w:b w:val="1"/>
        </w:rPr>
        <w:t xml:space="preserve"> </w:t>
      </w:r>
    </w:p>
    <w:p>
      <w:pPr>
        <w:pStyle w:val="P21"/>
        <w:spacing w:before="0"/>
        <w:ind w:hanging="936" w:left="1446"/>
        <w:jc w:val="left"/>
        <w:rPr>
          <w:rFonts w:ascii="Arial" w:hAnsi="Arial"/>
        </w:rPr>
      </w:pPr>
      <w:r>
        <w:rPr>
          <w:rFonts w:ascii="Arial" w:hAnsi="Arial"/>
        </w:rPr>
        <w:tab/>
        <w:t xml:space="preserve"> </w:t>
      </w:r>
    </w:p>
    <w:p>
      <w:pPr>
        <w:pStyle w:val="P20"/>
        <w:rPr>
          <w:rFonts w:ascii="Arial" w:hAnsi="Arial"/>
        </w:rPr>
      </w:pPr>
    </w:p>
    <w:p>
      <w:pPr>
        <w:pStyle w:val="P20"/>
        <w:rPr>
          <w:rFonts w:ascii="Arial" w:hAnsi="Arial"/>
        </w:rPr>
      </w:pPr>
    </w:p>
    <w:p>
      <w:pPr>
        <w:pStyle w:val="P20"/>
        <w:rPr>
          <w:rFonts w:ascii="Arial" w:hAnsi="Arial"/>
          <w:b w:val="1"/>
        </w:rPr>
      </w:pPr>
      <w:r>
        <w:rPr>
          <w:rFonts w:ascii="Arial" w:hAnsi="Arial"/>
        </w:rPr>
        <w:t>Language editing:</w:t>
      </w:r>
      <w:r>
        <w:rPr>
          <w:rFonts w:ascii="Arial" w:hAnsi="Arial"/>
          <w:b w:val="1"/>
        </w:rPr>
        <w:t xml:space="preserve"> </w:t>
      </w:r>
      <w:r>
        <w:rPr>
          <w:rFonts w:ascii="Arial" w:hAnsi="Arial"/>
        </w:rPr>
        <w:t>Bogdana Milošević</w:t>
      </w:r>
    </w:p>
    <w:p>
      <w:pPr>
        <w:pStyle w:val="P20"/>
        <w:rPr>
          <w:rFonts w:ascii="Arial" w:hAnsi="Arial"/>
        </w:rPr>
      </w:pPr>
    </w:p>
    <w:p>
      <w:pPr>
        <w:pStyle w:val="P20"/>
        <w:rPr>
          <w:rFonts w:ascii="Arial" w:hAnsi="Arial"/>
        </w:rPr>
      </w:pPr>
      <w:r>
        <w:rPr>
          <w:rFonts w:ascii="Arial" w:hAnsi="Arial"/>
        </w:rPr>
        <w:t xml:space="preserve">Translation: Gordana Nedeljković </w:t>
      </w:r>
    </w:p>
    <w:p>
      <w:pPr>
        <w:pStyle w:val="P20"/>
        <w:rPr>
          <w:rFonts w:ascii="Arial" w:hAnsi="Arial"/>
        </w:rPr>
      </w:pPr>
    </w:p>
    <w:p>
      <w:pPr>
        <w:pStyle w:val="P19"/>
        <w:jc w:val="left"/>
        <w:rPr>
          <w:rFonts w:ascii="Arial" w:hAnsi="Arial"/>
        </w:rPr>
      </w:pPr>
      <w:r>
        <w:rPr>
          <w:rFonts w:ascii="Arial" w:hAnsi="Arial"/>
        </w:rPr>
        <w:t>Technical editor: Irena Dimić</w:t>
      </w: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tbl>
      <w:tblPr>
        <w:tblStyle w:val="T3"/>
        <w:tblW w:w="0" w:type="auto"/>
        <w:tblInd w:w="397" w:type="dxa"/>
        <w:tblLayout w:type="autofit"/>
        <w:tblCellMar>
          <w:left w:w="28" w:type="dxa"/>
          <w:right w:w="28" w:type="dxa"/>
        </w:tblCellMar>
      </w:tblPr>
      <w:tblGrid/>
      <w:tr>
        <w:trPr>
          <w:wAfter w:w="0" w:type="dxa"/>
        </w:trPr>
        <w:tc>
          <w:tcPr>
            <w:tcW w:w="4536" w:type="dxa"/>
            <w:vAlign w:val="center"/>
          </w:tcPr>
          <w:p>
            <w:pPr>
              <w:spacing w:before="240"/>
              <w:ind w:left="284"/>
            </w:pPr>
            <w:r>
              <w:t>CIP - Каталогизација у публикацији</w:t>
            </w:r>
          </w:p>
          <w:p>
            <w:pPr>
              <w:ind w:left="284"/>
            </w:pPr>
            <w:r>
              <w:t>Народна библиотека Србије, Београд</w:t>
            </w:r>
          </w:p>
          <w:p>
            <w:pPr>
              <w:ind w:left="284"/>
            </w:pPr>
            <w:r>
              <w:t>311 (497.11)</w:t>
            </w:r>
          </w:p>
          <w:p>
            <w:pPr>
              <w:ind w:left="284"/>
            </w:pPr>
          </w:p>
          <w:p>
            <w:pPr>
              <w:ind w:left="284"/>
            </w:pPr>
            <w:r>
              <w:t xml:space="preserve">         РАДНИ документ / Република Србија -</w:t>
            </w:r>
          </w:p>
          <w:p>
            <w:pPr>
              <w:ind w:left="284"/>
            </w:pPr>
            <w:r>
              <w:t>Републички завод за статистику = Working</w:t>
            </w:r>
          </w:p>
          <w:p>
            <w:pPr>
              <w:ind w:left="284"/>
            </w:pPr>
            <w:r>
              <w:t>Document / Republic of Serbia – Statistical Office; одговара Драган Вукмировић.</w:t>
            </w:r>
          </w:p>
          <w:p>
            <w:pPr>
              <w:ind w:left="284"/>
            </w:pPr>
            <w:r>
              <w:t xml:space="preserve"> - 1965, бр. 1-               . - Београд (Милана</w:t>
            </w:r>
          </w:p>
          <w:p>
            <w:pPr>
              <w:ind w:left="284"/>
            </w:pPr>
            <w:r>
              <w:t xml:space="preserve">Ракића 5) :  Републички завод за статистику </w:t>
            </w:r>
          </w:p>
          <w:p>
            <w:pPr>
              <w:ind w:left="284"/>
            </w:pPr>
            <w:r>
              <w:t xml:space="preserve">Србије, 1965- (Београд : Републички завод </w:t>
            </w:r>
          </w:p>
          <w:p>
            <w:pPr>
              <w:ind w:left="284"/>
            </w:pPr>
            <w:r>
              <w:t>за статистику Србије). - 27 cm</w:t>
            </w:r>
          </w:p>
          <w:p>
            <w:pPr>
              <w:ind w:left="284"/>
            </w:pPr>
          </w:p>
          <w:p>
            <w:pPr>
              <w:ind w:left="284"/>
            </w:pPr>
            <w:r>
              <w:t>ISSN 1820-0141 = Радни документ -</w:t>
            </w:r>
          </w:p>
          <w:p>
            <w:pPr>
              <w:ind w:left="284"/>
            </w:pPr>
            <w:r>
              <w:t>Република Србија. Републички завод за</w:t>
            </w:r>
          </w:p>
          <w:p>
            <w:pPr>
              <w:ind w:left="284"/>
            </w:pPr>
            <w:r>
              <w:t>статистику</w:t>
            </w:r>
          </w:p>
          <w:p>
            <w:pPr>
              <w:ind w:left="284"/>
            </w:pPr>
          </w:p>
          <w:p>
            <w:pPr>
              <w:ind w:left="284"/>
            </w:pPr>
            <w:r>
              <w:t>COBISS.SR-ID 59835916</w:t>
            </w:r>
          </w:p>
          <w:p>
            <w:pPr>
              <w:ind w:left="284"/>
              <w:rPr>
                <w:b w:val="1"/>
                <w:sz w:val="22"/>
              </w:rPr>
            </w:pPr>
          </w:p>
        </w:tc>
      </w:tr>
    </w:tbl>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jc w:val="center"/>
      </w:pPr>
      <w:r>
        <w:t>www.stat.gov.rs</w:t>
      </w:r>
    </w:p>
    <w:p>
      <w:pPr>
        <w:pStyle w:val="P20"/>
        <w:pBdr>
          <w:top w:val="single" w:sz="6" w:space="0" w:shadow="0" w:frame="0"/>
        </w:pBdr>
        <w:spacing w:before="120"/>
        <w:ind w:firstLine="0"/>
        <w:jc w:val="center"/>
        <w:rPr>
          <w:rFonts w:ascii="Arial" w:hAnsi="Arial"/>
          <w:sz w:val="18"/>
        </w:rPr>
      </w:pPr>
      <w:r>
        <w:rPr>
          <w:rFonts w:ascii="Arial" w:hAnsi="Arial"/>
          <w:b w:val="1"/>
          <w:sz w:val="18"/>
        </w:rPr>
        <w:t>Published and printed by</w:t>
      </w:r>
    </w:p>
    <w:p>
      <w:pPr>
        <w:pStyle w:val="P20"/>
        <w:ind w:firstLine="0"/>
        <w:jc w:val="center"/>
        <w:rPr>
          <w:rFonts w:ascii="Arial" w:hAnsi="Arial"/>
          <w:sz w:val="18"/>
        </w:rPr>
      </w:pPr>
      <w:r>
        <w:rPr>
          <w:rFonts w:ascii="Arial" w:hAnsi="Arial"/>
          <w:sz w:val="18"/>
        </w:rPr>
        <w:t>Statistical Office of the Republic of Serbia, Belgrade, 5, Milana Rakica St</w:t>
      </w:r>
    </w:p>
    <w:p>
      <w:pPr>
        <w:pStyle w:val="P20"/>
        <w:ind w:firstLine="0"/>
        <w:jc w:val="center"/>
        <w:rPr>
          <w:rFonts w:ascii="Arial" w:hAnsi="Arial"/>
          <w:sz w:val="18"/>
        </w:rPr>
      </w:pPr>
      <w:r>
        <w:rPr>
          <w:rFonts w:ascii="Arial" w:hAnsi="Arial"/>
          <w:sz w:val="18"/>
        </w:rPr>
        <w:t xml:space="preserve">Phone: +381 2412-922; Fax: +381 2411-260 </w:t>
        <w:tab/>
      </w:r>
    </w:p>
    <w:p>
      <w:pPr>
        <w:pStyle w:val="P20"/>
        <w:ind w:firstLine="0"/>
        <w:jc w:val="center"/>
        <w:rPr>
          <w:rFonts w:ascii="Arial" w:hAnsi="Arial"/>
          <w:sz w:val="19"/>
        </w:rPr>
      </w:pPr>
      <w:r>
        <w:rPr>
          <w:rFonts w:ascii="Arial" w:hAnsi="Arial"/>
          <w:sz w:val="18"/>
        </w:rPr>
        <w:t>Number of pages: 16 ● Circulation: 20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021" w:right="1021" w:top="1021" w:bottom="1021" w:header="851" w:footer="851" w:gutter="0"/>
      <w:pgNumType w:start="1"/>
      <w:cols w:equalWidth="1" w:space="567"/>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rPr>
        <w:sz w:val="16"/>
      </w:rPr>
    </w:pPr>
    <w:r>
      <w:rPr>
        <w:sz w:val="16"/>
      </w:rPr>
      <w:t xml:space="preserve">Statistical Office of the Republic of Serbia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jc w:val="right"/>
      <w:rPr>
        <w:sz w:val="16"/>
      </w:rPr>
    </w:pPr>
    <w:r>
      <w:rPr>
        <w:sz w:val="16"/>
      </w:rPr>
      <w:t xml:space="preserve">Statistical Office of the Republic of Serbia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IS" w:hAnsi="Arial IS"/>
        <w:i w:val="1"/>
        <w:sz w:val="16"/>
      </w:rPr>
    </w:pPr>
    <w:r>
      <w:rPr>
        <w:rFonts w:ascii="Arial IS" w:hAnsi="Arial IS"/>
        <w:i w:val="1"/>
        <w:sz w:val="16"/>
      </w:rPr>
      <w:t>Working paper</w:t>
    </w:r>
  </w:p>
  <w:p>
    <w:pPr>
      <w:pStyle w:val="P17"/>
      <w:jc w:val="center"/>
      <w:rPr>
        <w:rFonts w:ascii="Arial IS" w:hAnsi="Arial IS"/>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IS" w:hAnsi="Arial IS"/>
        <w:i w:val="1"/>
        <w:sz w:val="18"/>
      </w:rPr>
    </w:pPr>
    <w:r>
      <w:rPr>
        <w:rFonts w:ascii="Arial IS" w:hAnsi="Arial IS"/>
        <w:i w:val="1"/>
        <w:sz w:val="18"/>
      </w:rPr>
      <w:t>Working paper</w:t>
    </w:r>
  </w:p>
</w:hdr>
</file>

<file path=word/numbering.xml><?xml version="1.0" encoding="utf-8"?>
<w:numbering xmlns:w="http://schemas.openxmlformats.org/wordprocessingml/2006/main">
  <w:abstractNum w:abstractNumId="0">
    <w:nsid w:val="0A5B6E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6E052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104475A"/>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2E2D3A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3A0E7D4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3A4108EB"/>
    <w:multiLevelType w:val="hybridMultilevel"/>
    <w:lvl w:ilvl="0" w:tplc="19116C48">
      <w:start w:val="1"/>
      <w:numFmt w:val="bullet"/>
      <w:suff w:val="tab"/>
      <w:lvlText w:val=""/>
      <w:lvlJc w:val="left"/>
      <w:pPr>
        <w:ind w:hanging="360" w:left="720"/>
        <w:tabs>
          <w:tab w:val="left" w:pos="720" w:leader="none"/>
        </w:tabs>
      </w:pPr>
      <w:rPr>
        <w:rFonts w:ascii="Symbol" w:hAnsi="Symbol"/>
      </w:rPr>
    </w:lvl>
    <w:lvl w:ilvl="1" w:tplc="5DB44BE9">
      <w:start w:val="1"/>
      <w:numFmt w:val="bullet"/>
      <w:suff w:val="tab"/>
      <w:lvlText w:val="o"/>
      <w:lvlJc w:val="left"/>
      <w:pPr>
        <w:ind w:hanging="360" w:left="1440"/>
        <w:tabs>
          <w:tab w:val="left" w:pos="1440" w:leader="none"/>
        </w:tabs>
      </w:pPr>
      <w:rPr>
        <w:rFonts w:ascii="Courier New" w:hAnsi="Courier New"/>
      </w:rPr>
    </w:lvl>
    <w:lvl w:ilvl="2" w:tplc="4F7EEE4B">
      <w:start w:val="1"/>
      <w:numFmt w:val="bullet"/>
      <w:suff w:val="tab"/>
      <w:lvlText w:val=""/>
      <w:lvlJc w:val="left"/>
      <w:pPr>
        <w:ind w:hanging="360" w:left="2160"/>
        <w:tabs>
          <w:tab w:val="left" w:pos="2160" w:leader="none"/>
        </w:tabs>
      </w:pPr>
      <w:rPr>
        <w:rFonts w:ascii="Wingdings" w:hAnsi="Wingdings"/>
      </w:rPr>
    </w:lvl>
    <w:lvl w:ilvl="3" w:tplc="5869E1FA">
      <w:start w:val="1"/>
      <w:numFmt w:val="bullet"/>
      <w:suff w:val="tab"/>
      <w:lvlText w:val=""/>
      <w:lvlJc w:val="left"/>
      <w:pPr>
        <w:ind w:hanging="360" w:left="2880"/>
        <w:tabs>
          <w:tab w:val="left" w:pos="2880" w:leader="none"/>
        </w:tabs>
      </w:pPr>
      <w:rPr>
        <w:rFonts w:ascii="Symbol" w:hAnsi="Symbol"/>
      </w:rPr>
    </w:lvl>
    <w:lvl w:ilvl="4" w:tplc="7383DEAB">
      <w:start w:val="1"/>
      <w:numFmt w:val="bullet"/>
      <w:suff w:val="tab"/>
      <w:lvlText w:val="o"/>
      <w:lvlJc w:val="left"/>
      <w:pPr>
        <w:ind w:hanging="360" w:left="3600"/>
        <w:tabs>
          <w:tab w:val="left" w:pos="3600" w:leader="none"/>
        </w:tabs>
      </w:pPr>
      <w:rPr>
        <w:rFonts w:ascii="Courier New" w:hAnsi="Courier New"/>
      </w:rPr>
    </w:lvl>
    <w:lvl w:ilvl="5" w:tplc="2C55BED4">
      <w:start w:val="1"/>
      <w:numFmt w:val="bullet"/>
      <w:suff w:val="tab"/>
      <w:lvlText w:val=""/>
      <w:lvlJc w:val="left"/>
      <w:pPr>
        <w:ind w:hanging="360" w:left="4320"/>
        <w:tabs>
          <w:tab w:val="left" w:pos="4320" w:leader="none"/>
        </w:tabs>
      </w:pPr>
      <w:rPr>
        <w:rFonts w:ascii="Wingdings" w:hAnsi="Wingdings"/>
      </w:rPr>
    </w:lvl>
    <w:lvl w:ilvl="6" w:tplc="5C0F6EE9">
      <w:start w:val="1"/>
      <w:numFmt w:val="bullet"/>
      <w:suff w:val="tab"/>
      <w:lvlText w:val=""/>
      <w:lvlJc w:val="left"/>
      <w:pPr>
        <w:ind w:hanging="360" w:left="5040"/>
        <w:tabs>
          <w:tab w:val="left" w:pos="5040" w:leader="none"/>
        </w:tabs>
      </w:pPr>
      <w:rPr>
        <w:rFonts w:ascii="Symbol" w:hAnsi="Symbol"/>
      </w:rPr>
    </w:lvl>
    <w:lvl w:ilvl="7" w:tplc="675AB43B">
      <w:start w:val="1"/>
      <w:numFmt w:val="bullet"/>
      <w:suff w:val="tab"/>
      <w:lvlText w:val="o"/>
      <w:lvlJc w:val="left"/>
      <w:pPr>
        <w:ind w:hanging="360" w:left="5760"/>
        <w:tabs>
          <w:tab w:val="left" w:pos="5760" w:leader="none"/>
        </w:tabs>
      </w:pPr>
      <w:rPr>
        <w:rFonts w:ascii="Courier New" w:hAnsi="Courier New"/>
      </w:rPr>
    </w:lvl>
    <w:lvl w:ilvl="8" w:tplc="760EADEB">
      <w:start w:val="1"/>
      <w:numFmt w:val="bullet"/>
      <w:suff w:val="tab"/>
      <w:lvlText w:val=""/>
      <w:lvlJc w:val="left"/>
      <w:pPr>
        <w:ind w:hanging="360" w:left="6480"/>
        <w:tabs>
          <w:tab w:val="left" w:pos="6480" w:leader="none"/>
        </w:tabs>
      </w:pPr>
      <w:rPr>
        <w:rFonts w:ascii="Wingdings" w:hAnsi="Wingdings"/>
      </w:rPr>
    </w:lvl>
  </w:abstractNum>
  <w:abstractNum w:abstractNumId="6">
    <w:nsid w:val="4226652D"/>
    <w:multiLevelType w:val="hybridMultilevel"/>
    <w:lvl w:ilvl="0" w:tplc="6091E273">
      <w:start w:val="1"/>
      <w:numFmt w:val="bullet"/>
      <w:suff w:val="tab"/>
      <w:lvlText w:val="-"/>
      <w:lvlJc w:val="left"/>
      <w:pPr>
        <w:ind w:hanging="360" w:left="1800"/>
        <w:tabs>
          <w:tab w:val="left" w:pos="1800" w:leader="none"/>
        </w:tabs>
      </w:pPr>
      <w:rPr>
        <w:rFonts w:ascii="Times New Roman" w:hAnsi="Times New Roman"/>
      </w:rPr>
    </w:lvl>
    <w:lvl w:ilvl="1" w:tplc="75C69F2E">
      <w:start w:val="1"/>
      <w:numFmt w:val="bullet"/>
      <w:suff w:val="tab"/>
      <w:lvlText w:val="o"/>
      <w:lvlJc w:val="left"/>
      <w:pPr>
        <w:ind w:hanging="360" w:left="2520"/>
        <w:tabs>
          <w:tab w:val="left" w:pos="2520" w:leader="none"/>
        </w:tabs>
      </w:pPr>
      <w:rPr>
        <w:rFonts w:ascii="Courier New" w:hAnsi="Courier New"/>
      </w:rPr>
    </w:lvl>
    <w:lvl w:ilvl="2" w:tplc="56604228">
      <w:start w:val="1"/>
      <w:numFmt w:val="bullet"/>
      <w:suff w:val="tab"/>
      <w:lvlText w:val=""/>
      <w:lvlJc w:val="left"/>
      <w:pPr>
        <w:ind w:hanging="360" w:left="3240"/>
        <w:tabs>
          <w:tab w:val="left" w:pos="3240" w:leader="none"/>
        </w:tabs>
      </w:pPr>
      <w:rPr>
        <w:rFonts w:ascii="Wingdings" w:hAnsi="Wingdings"/>
      </w:rPr>
    </w:lvl>
    <w:lvl w:ilvl="3" w:tplc="45C0948C">
      <w:start w:val="1"/>
      <w:numFmt w:val="bullet"/>
      <w:suff w:val="tab"/>
      <w:lvlText w:val=""/>
      <w:lvlJc w:val="left"/>
      <w:pPr>
        <w:ind w:hanging="360" w:left="3960"/>
        <w:tabs>
          <w:tab w:val="left" w:pos="3960" w:leader="none"/>
        </w:tabs>
      </w:pPr>
      <w:rPr>
        <w:rFonts w:ascii="Symbol" w:hAnsi="Symbol"/>
      </w:rPr>
    </w:lvl>
    <w:lvl w:ilvl="4" w:tplc="1B1BD4B3">
      <w:start w:val="1"/>
      <w:numFmt w:val="bullet"/>
      <w:suff w:val="tab"/>
      <w:lvlText w:val="o"/>
      <w:lvlJc w:val="left"/>
      <w:pPr>
        <w:ind w:hanging="360" w:left="4680"/>
        <w:tabs>
          <w:tab w:val="left" w:pos="4680" w:leader="none"/>
        </w:tabs>
      </w:pPr>
      <w:rPr>
        <w:rFonts w:ascii="Courier New" w:hAnsi="Courier New"/>
      </w:rPr>
    </w:lvl>
    <w:lvl w:ilvl="5" w:tplc="3918AF6F">
      <w:start w:val="1"/>
      <w:numFmt w:val="bullet"/>
      <w:suff w:val="tab"/>
      <w:lvlText w:val=""/>
      <w:lvlJc w:val="left"/>
      <w:pPr>
        <w:ind w:hanging="360" w:left="5400"/>
        <w:tabs>
          <w:tab w:val="left" w:pos="5400" w:leader="none"/>
        </w:tabs>
      </w:pPr>
      <w:rPr>
        <w:rFonts w:ascii="Wingdings" w:hAnsi="Wingdings"/>
      </w:rPr>
    </w:lvl>
    <w:lvl w:ilvl="6" w:tplc="26EA0560">
      <w:start w:val="1"/>
      <w:numFmt w:val="bullet"/>
      <w:suff w:val="tab"/>
      <w:lvlText w:val=""/>
      <w:lvlJc w:val="left"/>
      <w:pPr>
        <w:ind w:hanging="360" w:left="6120"/>
        <w:tabs>
          <w:tab w:val="left" w:pos="6120" w:leader="none"/>
        </w:tabs>
      </w:pPr>
      <w:rPr>
        <w:rFonts w:ascii="Symbol" w:hAnsi="Symbol"/>
      </w:rPr>
    </w:lvl>
    <w:lvl w:ilvl="7" w:tplc="45A6F49E">
      <w:start w:val="1"/>
      <w:numFmt w:val="bullet"/>
      <w:suff w:val="tab"/>
      <w:lvlText w:val="o"/>
      <w:lvlJc w:val="left"/>
      <w:pPr>
        <w:ind w:hanging="360" w:left="6840"/>
        <w:tabs>
          <w:tab w:val="left" w:pos="6840" w:leader="none"/>
        </w:tabs>
      </w:pPr>
      <w:rPr>
        <w:rFonts w:ascii="Courier New" w:hAnsi="Courier New"/>
      </w:rPr>
    </w:lvl>
    <w:lvl w:ilvl="8" w:tplc="4B9BA353">
      <w:start w:val="1"/>
      <w:numFmt w:val="bullet"/>
      <w:suff w:val="tab"/>
      <w:lvlText w:val=""/>
      <w:lvlJc w:val="left"/>
      <w:pPr>
        <w:ind w:hanging="360" w:left="7560"/>
        <w:tabs>
          <w:tab w:val="left" w:pos="7560" w:leader="none"/>
        </w:tabs>
      </w:pPr>
      <w:rPr>
        <w:rFonts w:ascii="Wingdings" w:hAnsi="Wingdings"/>
      </w:rPr>
    </w:lvl>
  </w:abstractNum>
  <w:abstractNum w:abstractNumId="7">
    <w:nsid w:val="4A206920"/>
    <w:multiLevelType w:val="hybridMultilevel"/>
    <w:lvl w:ilvl="0" w:tplc="5950A132">
      <w:start w:val="5"/>
      <w:numFmt w:val="bullet"/>
      <w:suff w:val="tab"/>
      <w:lvlText w:val="-"/>
      <w:lvlJc w:val="left"/>
      <w:pPr>
        <w:ind w:hanging="360" w:left="720"/>
        <w:tabs>
          <w:tab w:val="left" w:pos="720" w:leader="none"/>
        </w:tabs>
      </w:pPr>
      <w:rPr>
        <w:rFonts w:ascii="Times New Roman" w:hAnsi="Times New Roman"/>
      </w:rPr>
    </w:lvl>
    <w:lvl w:ilvl="1" w:tplc="218151E7">
      <w:start w:val="1"/>
      <w:numFmt w:val="bullet"/>
      <w:suff w:val="tab"/>
      <w:lvlText w:val="o"/>
      <w:lvlJc w:val="left"/>
      <w:pPr>
        <w:ind w:hanging="360" w:left="1440"/>
        <w:tabs>
          <w:tab w:val="left" w:pos="1440" w:leader="none"/>
        </w:tabs>
      </w:pPr>
      <w:rPr>
        <w:rFonts w:ascii="Courier New" w:hAnsi="Courier New"/>
      </w:rPr>
    </w:lvl>
    <w:lvl w:ilvl="2" w:tplc="34CADB4D">
      <w:start w:val="1"/>
      <w:numFmt w:val="bullet"/>
      <w:suff w:val="tab"/>
      <w:lvlText w:val=""/>
      <w:lvlJc w:val="left"/>
      <w:pPr>
        <w:ind w:hanging="360" w:left="2160"/>
        <w:tabs>
          <w:tab w:val="left" w:pos="2160" w:leader="none"/>
        </w:tabs>
      </w:pPr>
      <w:rPr>
        <w:rFonts w:ascii="Wingdings" w:hAnsi="Wingdings"/>
      </w:rPr>
    </w:lvl>
    <w:lvl w:ilvl="3" w:tplc="5AE4893C">
      <w:start w:val="1"/>
      <w:numFmt w:val="bullet"/>
      <w:suff w:val="tab"/>
      <w:lvlText w:val=""/>
      <w:lvlJc w:val="left"/>
      <w:pPr>
        <w:ind w:hanging="360" w:left="2880"/>
        <w:tabs>
          <w:tab w:val="left" w:pos="2880" w:leader="none"/>
        </w:tabs>
      </w:pPr>
      <w:rPr>
        <w:rFonts w:ascii="Symbol" w:hAnsi="Symbol"/>
      </w:rPr>
    </w:lvl>
    <w:lvl w:ilvl="4" w:tplc="399333F3">
      <w:start w:val="1"/>
      <w:numFmt w:val="bullet"/>
      <w:suff w:val="tab"/>
      <w:lvlText w:val="o"/>
      <w:lvlJc w:val="left"/>
      <w:pPr>
        <w:ind w:hanging="360" w:left="3600"/>
        <w:tabs>
          <w:tab w:val="left" w:pos="3600" w:leader="none"/>
        </w:tabs>
      </w:pPr>
      <w:rPr>
        <w:rFonts w:ascii="Courier New" w:hAnsi="Courier New"/>
      </w:rPr>
    </w:lvl>
    <w:lvl w:ilvl="5" w:tplc="3B8092DD">
      <w:start w:val="1"/>
      <w:numFmt w:val="bullet"/>
      <w:suff w:val="tab"/>
      <w:lvlText w:val=""/>
      <w:lvlJc w:val="left"/>
      <w:pPr>
        <w:ind w:hanging="360" w:left="4320"/>
        <w:tabs>
          <w:tab w:val="left" w:pos="4320" w:leader="none"/>
        </w:tabs>
      </w:pPr>
      <w:rPr>
        <w:rFonts w:ascii="Wingdings" w:hAnsi="Wingdings"/>
      </w:rPr>
    </w:lvl>
    <w:lvl w:ilvl="6" w:tplc="2E8E6E43">
      <w:start w:val="1"/>
      <w:numFmt w:val="bullet"/>
      <w:suff w:val="tab"/>
      <w:lvlText w:val=""/>
      <w:lvlJc w:val="left"/>
      <w:pPr>
        <w:ind w:hanging="360" w:left="5040"/>
        <w:tabs>
          <w:tab w:val="left" w:pos="5040" w:leader="none"/>
        </w:tabs>
      </w:pPr>
      <w:rPr>
        <w:rFonts w:ascii="Symbol" w:hAnsi="Symbol"/>
      </w:rPr>
    </w:lvl>
    <w:lvl w:ilvl="7" w:tplc="3B6DE982">
      <w:start w:val="1"/>
      <w:numFmt w:val="bullet"/>
      <w:suff w:val="tab"/>
      <w:lvlText w:val="o"/>
      <w:lvlJc w:val="left"/>
      <w:pPr>
        <w:ind w:hanging="360" w:left="5760"/>
        <w:tabs>
          <w:tab w:val="left" w:pos="5760" w:leader="none"/>
        </w:tabs>
      </w:pPr>
      <w:rPr>
        <w:rFonts w:ascii="Courier New" w:hAnsi="Courier New"/>
      </w:rPr>
    </w:lvl>
    <w:lvl w:ilvl="8" w:tplc="34A35D37">
      <w:start w:val="1"/>
      <w:numFmt w:val="bullet"/>
      <w:suff w:val="tab"/>
      <w:lvlText w:val=""/>
      <w:lvlJc w:val="left"/>
      <w:pPr>
        <w:ind w:hanging="360" w:left="6480"/>
        <w:tabs>
          <w:tab w:val="left" w:pos="6480" w:leader="none"/>
        </w:tabs>
      </w:pPr>
      <w:rPr>
        <w:rFonts w:ascii="Wingdings" w:hAnsi="Wingdings"/>
      </w:rPr>
    </w:lvl>
  </w:abstractNum>
  <w:abstractNum w:abstractNumId="8">
    <w:nsid w:val="4B6B15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51101B2E"/>
    <w:multiLevelType w:val="hybridMultilevel"/>
    <w:lvl w:ilvl="0" w:tplc="3F3B7099">
      <w:start w:val="1"/>
      <w:numFmt w:val="bullet"/>
      <w:suff w:val="tab"/>
      <w:lvlText w:val=""/>
      <w:lvlJc w:val="left"/>
      <w:pPr>
        <w:ind w:hanging="360" w:left="1080"/>
        <w:tabs>
          <w:tab w:val="left" w:pos="1080" w:leader="none"/>
        </w:tabs>
      </w:pPr>
      <w:rPr>
        <w:rFonts w:ascii="Symbol" w:hAnsi="Symbol"/>
      </w:rPr>
    </w:lvl>
    <w:lvl w:ilvl="1" w:tplc="518E7CFF">
      <w:start w:val="1"/>
      <w:numFmt w:val="bullet"/>
      <w:suff w:val="tab"/>
      <w:lvlText w:val="o"/>
      <w:lvlJc w:val="left"/>
      <w:pPr>
        <w:ind w:hanging="360" w:left="1800"/>
        <w:tabs>
          <w:tab w:val="left" w:pos="1800" w:leader="none"/>
        </w:tabs>
      </w:pPr>
      <w:rPr>
        <w:rFonts w:ascii="Courier New" w:hAnsi="Courier New"/>
      </w:rPr>
    </w:lvl>
    <w:lvl w:ilvl="2" w:tplc="6D6E132B">
      <w:start w:val="1"/>
      <w:numFmt w:val="bullet"/>
      <w:suff w:val="tab"/>
      <w:lvlText w:val=""/>
      <w:lvlJc w:val="left"/>
      <w:pPr>
        <w:ind w:hanging="360" w:left="2520"/>
        <w:tabs>
          <w:tab w:val="left" w:pos="2520" w:leader="none"/>
        </w:tabs>
      </w:pPr>
      <w:rPr>
        <w:rFonts w:ascii="Wingdings" w:hAnsi="Wingdings"/>
      </w:rPr>
    </w:lvl>
    <w:lvl w:ilvl="3" w:tplc="1D3C9603">
      <w:start w:val="1"/>
      <w:numFmt w:val="bullet"/>
      <w:suff w:val="tab"/>
      <w:lvlText w:val=""/>
      <w:lvlJc w:val="left"/>
      <w:pPr>
        <w:ind w:hanging="360" w:left="3240"/>
        <w:tabs>
          <w:tab w:val="left" w:pos="3240" w:leader="none"/>
        </w:tabs>
      </w:pPr>
      <w:rPr>
        <w:rFonts w:ascii="Symbol" w:hAnsi="Symbol"/>
      </w:rPr>
    </w:lvl>
    <w:lvl w:ilvl="4" w:tplc="274CCD50">
      <w:start w:val="1"/>
      <w:numFmt w:val="bullet"/>
      <w:suff w:val="tab"/>
      <w:lvlText w:val="o"/>
      <w:lvlJc w:val="left"/>
      <w:pPr>
        <w:ind w:hanging="360" w:left="3960"/>
        <w:tabs>
          <w:tab w:val="left" w:pos="3960" w:leader="none"/>
        </w:tabs>
      </w:pPr>
      <w:rPr>
        <w:rFonts w:ascii="Courier New" w:hAnsi="Courier New"/>
      </w:rPr>
    </w:lvl>
    <w:lvl w:ilvl="5" w:tplc="4515ABDB">
      <w:start w:val="1"/>
      <w:numFmt w:val="bullet"/>
      <w:suff w:val="tab"/>
      <w:lvlText w:val=""/>
      <w:lvlJc w:val="left"/>
      <w:pPr>
        <w:ind w:hanging="360" w:left="4680"/>
        <w:tabs>
          <w:tab w:val="left" w:pos="4680" w:leader="none"/>
        </w:tabs>
      </w:pPr>
      <w:rPr>
        <w:rFonts w:ascii="Wingdings" w:hAnsi="Wingdings"/>
      </w:rPr>
    </w:lvl>
    <w:lvl w:ilvl="6" w:tplc="782E535F">
      <w:start w:val="1"/>
      <w:numFmt w:val="bullet"/>
      <w:suff w:val="tab"/>
      <w:lvlText w:val=""/>
      <w:lvlJc w:val="left"/>
      <w:pPr>
        <w:ind w:hanging="360" w:left="5400"/>
        <w:tabs>
          <w:tab w:val="left" w:pos="5400" w:leader="none"/>
        </w:tabs>
      </w:pPr>
      <w:rPr>
        <w:rFonts w:ascii="Symbol" w:hAnsi="Symbol"/>
      </w:rPr>
    </w:lvl>
    <w:lvl w:ilvl="7" w:tplc="148ED66A">
      <w:start w:val="1"/>
      <w:numFmt w:val="bullet"/>
      <w:suff w:val="tab"/>
      <w:lvlText w:val="o"/>
      <w:lvlJc w:val="left"/>
      <w:pPr>
        <w:ind w:hanging="360" w:left="6120"/>
        <w:tabs>
          <w:tab w:val="left" w:pos="6120" w:leader="none"/>
        </w:tabs>
      </w:pPr>
      <w:rPr>
        <w:rFonts w:ascii="Courier New" w:hAnsi="Courier New"/>
      </w:rPr>
    </w:lvl>
    <w:lvl w:ilvl="8" w:tplc="00D20171">
      <w:start w:val="1"/>
      <w:numFmt w:val="bullet"/>
      <w:suff w:val="tab"/>
      <w:lvlText w:val=""/>
      <w:lvlJc w:val="left"/>
      <w:pPr>
        <w:ind w:hanging="360" w:left="6840"/>
        <w:tabs>
          <w:tab w:val="left" w:pos="6840" w:leader="none"/>
        </w:tabs>
      </w:pPr>
      <w:rPr>
        <w:rFonts w:ascii="Wingdings" w:hAnsi="Wingdings"/>
      </w:rPr>
    </w:lvl>
  </w:abstractNum>
  <w:abstractNum w:abstractNumId="10">
    <w:nsid w:val="560E10DA"/>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5811472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6D0107AC"/>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795A3FB2"/>
    <w:multiLevelType w:val="multilevel"/>
    <w:lvl w:ilvl="0">
      <w:start w:val="4"/>
      <w:numFmt w:val="decimal"/>
      <w:suff w:val="tab"/>
      <w:lvlText w:val="(%1)"/>
      <w:lvlJc w:val="left"/>
      <w:pPr>
        <w:ind w:hanging="720" w:left="1620"/>
        <w:tabs>
          <w:tab w:val="left" w:pos="162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14">
    <w:nsid w:val="7DE3546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7EEA2BC5"/>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
    <w:nsid w:val="7F826340"/>
    <w:multiLevelType w:val="hybridMultilevel"/>
    <w:lvl w:ilvl="0">
      <w:start w:val="1"/>
      <w:numFmt w:val="lowerLetter"/>
      <w:suff w:val="tab"/>
      <w:lvlText w:val="%1)"/>
      <w:lvlJc w:val="left"/>
      <w:pPr>
        <w:ind w:hanging="360" w:left="720"/>
        <w:tabs>
          <w:tab w:val="left" w:pos="720" w:leader="none"/>
        </w:tabs>
      </w:pPr>
      <w:rPr/>
    </w:lvl>
    <w:lvl w:ilvl="1" w:tplc="2A0D7278">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8"/>
  </w:num>
  <w:num w:numId="2">
    <w:abstractNumId w:val="1"/>
  </w:num>
  <w:num w:numId="3">
    <w:abstractNumId w:val="11"/>
  </w:num>
  <w:num w:numId="4">
    <w:abstractNumId w:val="13"/>
  </w:num>
  <w:num w:numId="5">
    <w:abstractNumId w:val="3"/>
  </w:num>
  <w:num w:numId="6">
    <w:abstractNumId w:val="0"/>
  </w:num>
  <w:num w:numId="7">
    <w:abstractNumId w:val="14"/>
  </w:num>
  <w:num w:numId="8">
    <w:abstractNumId w:val="16"/>
  </w:num>
  <w:num w:numId="9">
    <w:abstractNumId w:val="10"/>
  </w:num>
  <w:num w:numId="10">
    <w:abstractNumId w:val="12"/>
  </w:num>
  <w:num w:numId="11">
    <w:abstractNumId w:val="7"/>
  </w:num>
  <w:num w:numId="12">
    <w:abstractNumId w:val="6"/>
  </w:num>
  <w:num w:numId="13">
    <w:abstractNumId w:val="2"/>
  </w:num>
  <w:num w:numId="14">
    <w:abstractNumId w:val="4"/>
  </w:num>
  <w:num w:numId="15">
    <w:abstractNumId w:val="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Heading 1"/>
    <w:basedOn w:val="P0"/>
    <w:next w:val="P0"/>
    <w:pPr>
      <w:keepNext w:val="1"/>
      <w:spacing w:before="240" w:after="60"/>
      <w:outlineLvl w:val="0"/>
    </w:pPr>
    <w:rPr>
      <w:b w:val="1"/>
      <w:sz w:val="28"/>
    </w:rPr>
  </w:style>
  <w:style w:type="paragraph" w:styleId="P2">
    <w:name w:val="Heading 2"/>
    <w:basedOn w:val="P0"/>
    <w:next w:val="P0"/>
    <w:pPr>
      <w:keepNext w:val="1"/>
      <w:outlineLvl w:val="1"/>
    </w:pPr>
    <w:rPr>
      <w:rFonts w:ascii="CTimesRoman" w:hAnsi="CTimesRoman"/>
      <w:b w:val="1"/>
      <w:color w:val="000000"/>
      <w:sz w:val="14"/>
    </w:rPr>
  </w:style>
  <w:style w:type="paragraph" w:styleId="P3">
    <w:name w:val="Heading 3"/>
    <w:basedOn w:val="P0"/>
    <w:next w:val="P0"/>
    <w:pPr>
      <w:keepNext w:val="1"/>
      <w:spacing w:before="240" w:after="60"/>
      <w:outlineLvl w:val="2"/>
    </w:pPr>
    <w:rPr>
      <w:b w:val="1"/>
      <w:sz w:val="26"/>
    </w:rPr>
  </w:style>
  <w:style w:type="paragraph" w:styleId="P4">
    <w:name w:val="Heading 4"/>
    <w:basedOn w:val="P0"/>
    <w:next w:val="P0"/>
    <w:pPr>
      <w:keepNext w:val="1"/>
      <w:outlineLvl w:val="3"/>
    </w:pPr>
    <w:rPr>
      <w:b w:val="1"/>
      <w:sz w:val="1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keepNext w:val="1"/>
      <w:tabs>
        <w:tab w:val="left" w:pos="9923" w:leader="none"/>
      </w:tabs>
      <w:jc w:val="center"/>
      <w:outlineLvl w:val="6"/>
    </w:pPr>
    <w:rPr>
      <w:b w:val="1"/>
    </w:rPr>
  </w:style>
  <w:style w:type="paragraph" w:styleId="P8">
    <w:name w:val="Heading 8"/>
    <w:basedOn w:val="P0"/>
    <w:next w:val="P0"/>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Caption"/>
    <w:basedOn w:val="P0"/>
    <w:next w:val="P0"/>
    <w:pPr>
      <w:jc w:val="center"/>
    </w:pPr>
    <w:rPr>
      <w:rFonts w:ascii="Times New Roman" w:hAnsi="Times New Roman"/>
      <w:b w:val="1"/>
      <w:sz w:val="24"/>
    </w:rPr>
  </w:style>
  <w:style w:type="paragraph" w:styleId="P27">
    <w:name w:val="Plain Text"/>
    <w:basedOn w:val="P0"/>
    <w:next w:val="P27"/>
    <w:pPr/>
    <w:rPr>
      <w:rFonts w:ascii="Courier New" w:hAnsi="Courier New"/>
    </w:rPr>
  </w:style>
  <w:style w:type="paragraph" w:styleId="P28">
    <w:name w:val="Blockquote"/>
    <w:basedOn w:val="P0"/>
    <w:next w:val="P28"/>
    <w:pPr>
      <w:spacing w:before="100" w:after="100"/>
      <w:ind w:left="360" w:right="360"/>
    </w:pPr>
    <w:rPr>
      <w:rFonts w:ascii="Times New Roman" w:hAnsi="Times New Roman"/>
      <w:sz w:val="24"/>
    </w:rPr>
  </w:style>
  <w:style w:type="paragraph" w:styleId="P29">
    <w:name w:val="Nace Section St"/>
    <w:basedOn w:val="P0"/>
    <w:next w:val="P29"/>
    <w:pPr>
      <w:keepNext w:val="1"/>
      <w:keepLines w:val="1"/>
      <w:spacing w:before="120"/>
    </w:pPr>
    <w:rPr>
      <w:rFonts w:ascii="Times" w:hAnsi="Times"/>
      <w:b w:val="1"/>
    </w:rPr>
  </w:style>
  <w:style w:type="paragraph" w:styleId="P30">
    <w:name w:val="Nace Division St"/>
    <w:basedOn w:val="P0"/>
    <w:next w:val="P30"/>
    <w:pPr>
      <w:keepNext w:val="1"/>
      <w:keepLines w:val="1"/>
      <w:spacing w:before="120"/>
    </w:pPr>
    <w:rPr>
      <w:rFonts w:ascii="Times" w:hAnsi="Times"/>
    </w:rPr>
  </w:style>
  <w:style w:type="paragraph" w:styleId="P31">
    <w:name w:val="Comment Text"/>
    <w:basedOn w:val="P0"/>
    <w:next w:val="P31"/>
    <w:pPr>
      <w:spacing w:before="120" w:after="120"/>
      <w:jc w:val="both"/>
    </w:pPr>
    <w:rPr>
      <w:rFonts w:ascii="Times New Roman" w:hAnsi="Times New Roman"/>
    </w:rPr>
  </w:style>
  <w:style w:type="paragraph" w:styleId="P32">
    <w:name w:val="xl24"/>
    <w:basedOn w:val="P0"/>
    <w:next w:val="P32"/>
    <w:pPr>
      <w:spacing w:before="100" w:after="100" w:beforeAutospacing="1" w:afterAutospacing="1"/>
    </w:pPr>
    <w:rPr>
      <w:b w:val="1"/>
      <w:sz w:val="24"/>
    </w:rPr>
  </w:style>
  <w:style w:type="paragraph" w:styleId="P33">
    <w:name w:val="xl25"/>
    <w:basedOn w:val="P0"/>
    <w:next w:val="P33"/>
    <w:pPr>
      <w:spacing w:before="100" w:after="100" w:beforeAutospacing="1" w:afterAutospacing="1"/>
    </w:pPr>
    <w:rPr>
      <w:b w:val="1"/>
      <w:sz w:val="24"/>
    </w:rPr>
  </w:style>
  <w:style w:type="paragraph" w:styleId="P34">
    <w:name w:val="xl26"/>
    <w:basedOn w:val="P0"/>
    <w:next w:val="P34"/>
    <w:pPr>
      <w:spacing w:before="100" w:after="100" w:beforeAutospacing="1" w:afterAutospacing="1"/>
      <w:jc w:val="right"/>
    </w:pPr>
    <w:rPr>
      <w:b w:val="1"/>
      <w:sz w:val="24"/>
    </w:rPr>
  </w:style>
  <w:style w:type="paragraph" w:styleId="P35">
    <w:name w:val="Nace Sous Section St"/>
    <w:basedOn w:val="P29"/>
    <w:next w:val="P35"/>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2013-08-05T09:38:00Z</dcterms:created>
  <cp:lastModifiedBy>Nikola Kapetanovic</cp:lastModifiedBy>
  <cp:lastPrinted>2013-08-12T07:08:00Z</cp:lastPrinted>
  <dcterms:modified xsi:type="dcterms:W3CDTF">2020-01-10T11:42:29Z</dcterms:modified>
  <cp:revision>21</cp:revision>
  <dc:title>REPUBLI^KI ZAVOD ZA STATISTIKU</dc:title>
</cp:coreProperties>
</file>