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10F7C9" Type="http://schemas.openxmlformats.org/officeDocument/2006/relationships/officeDocument" Target="/word/document.xml" /><Relationship Id="coreR5A10F7C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rPr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875030" cy="21971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21971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СЗ10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352 - год. LXIII, 26.12.2013.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друштвених делатности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СРБ352 СЗ10 261213</w:t>
            </w:r>
          </w:p>
        </w:tc>
      </w:tr>
    </w:tbl>
    <w:p/>
    <w:p>
      <w:pPr>
        <w:pStyle w:val="P37"/>
        <w:jc w:val="right"/>
        <w:rPr>
          <w:rFonts w:ascii="Arial" w:hAnsi="Arial"/>
          <w:color w:val="000000"/>
        </w:rPr>
      </w:pPr>
      <w:r>
        <w:rPr>
          <w:rFonts w:ascii="Arial Narrow" w:hAnsi="Arial Narrow"/>
          <w:color w:val="000000"/>
        </w:rPr>
        <w:t>–</w:t>
      </w:r>
      <w:r>
        <w:rPr>
          <w:rFonts w:ascii="Arial" w:hAnsi="Arial"/>
          <w:color w:val="000000"/>
        </w:rPr>
        <w:t xml:space="preserve"> Исправљено издање </w:t>
      </w:r>
      <w:r>
        <w:rPr>
          <w:rFonts w:ascii="Arial Narrow" w:hAnsi="Arial Narrow"/>
          <w:color w:val="000000"/>
        </w:rPr>
        <w:t>–</w:t>
      </w:r>
    </w:p>
    <w:p>
      <w:pPr>
        <w:pStyle w:val="P37"/>
        <w:jc w:val="center"/>
        <w:rPr>
          <w:rFonts w:ascii="Arial" w:hAnsi="Arial"/>
          <w:b w:val="1"/>
          <w:color w:val="000000"/>
          <w:sz w:val="24"/>
        </w:rPr>
      </w:pPr>
    </w:p>
    <w:p>
      <w:pPr>
        <w:pStyle w:val="P37"/>
        <w:jc w:val="center"/>
        <w:rPr>
          <w:rFonts w:ascii="Arial" w:hAnsi="Arial"/>
          <w:b w:val="1"/>
          <w:sz w:val="24"/>
        </w:rPr>
      </w:pPr>
    </w:p>
    <w:p>
      <w:pPr>
        <w:pStyle w:val="P37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Корисници с</w:t>
      </w:r>
      <w:r>
        <w:rPr>
          <w:rFonts w:ascii="Arial" w:hAnsi="Arial"/>
          <w:b w:val="1"/>
          <w:sz w:val="24"/>
        </w:rPr>
        <w:t>оцијалн</w:t>
      </w:r>
      <w:r>
        <w:rPr>
          <w:rFonts w:ascii="Arial" w:hAnsi="Arial"/>
          <w:b w:val="1"/>
          <w:sz w:val="24"/>
        </w:rPr>
        <w:t>е</w:t>
      </w:r>
      <w:r>
        <w:rPr>
          <w:rFonts w:ascii="Arial" w:hAnsi="Arial"/>
          <w:b w:val="1"/>
          <w:sz w:val="24"/>
        </w:rPr>
        <w:t xml:space="preserve"> заштит</w:t>
      </w:r>
      <w:r>
        <w:rPr>
          <w:rFonts w:ascii="Arial" w:hAnsi="Arial"/>
          <w:b w:val="1"/>
          <w:sz w:val="24"/>
        </w:rPr>
        <w:t xml:space="preserve">е у Републици Србији, </w:t>
      </w:r>
      <w:r>
        <w:rPr>
          <w:rFonts w:ascii="Arial" w:hAnsi="Arial"/>
          <w:b w:val="1"/>
          <w:sz w:val="24"/>
        </w:rPr>
        <w:t>201</w:t>
      </w:r>
      <w:r>
        <w:rPr>
          <w:rFonts w:ascii="Arial" w:hAnsi="Arial"/>
          <w:b w:val="1"/>
          <w:sz w:val="24"/>
        </w:rPr>
        <w:t>2</w:t>
      </w:r>
      <w:r>
        <w:rPr>
          <w:rFonts w:ascii="Arial" w:hAnsi="Arial"/>
          <w:b w:val="1"/>
          <w:sz w:val="24"/>
        </w:rPr>
        <w:t>.</w:t>
      </w:r>
    </w:p>
    <w:p>
      <w:pPr>
        <w:pStyle w:val="P37"/>
        <w:jc w:val="center"/>
        <w:rPr>
          <w:rFonts w:ascii="Arial" w:hAnsi="Arial"/>
          <w:b w:val="1"/>
          <w:sz w:val="18"/>
        </w:rPr>
      </w:pPr>
    </w:p>
    <w:p>
      <w:pPr>
        <w:tabs>
          <w:tab w:val="left" w:pos="680" w:leader="none"/>
        </w:tabs>
        <w:ind w:firstLine="397"/>
        <w:jc w:val="both"/>
        <w:rPr>
          <w:sz w:val="10"/>
        </w:rPr>
      </w:pPr>
      <w:r>
        <w:tab/>
      </w:r>
    </w:p>
    <w:p>
      <w:pPr>
        <w:spacing w:before="120"/>
        <w:ind w:firstLine="397"/>
        <w:jc w:val="both"/>
      </w:pPr>
      <w:r>
        <w:t>У 2012. години, од укупног броја корисника у групи деце (узраст 0–17 година) 53% су дечаци а 47% девојчице. Од укупног броја свих корисника социјалне заштите у Републици Србији деца овог узраста су заступљена у 28%.</w:t>
      </w:r>
    </w:p>
    <w:p>
      <w:pPr>
        <w:spacing w:before="120"/>
        <w:ind w:firstLine="397"/>
        <w:jc w:val="both"/>
      </w:pPr>
      <w:r>
        <w:t>Кад је реч о младима (18–25 година), 51% од укупног броја корисника чине особе мушког пола, а 49% особе женског пола. У односу на укупан број корисника ова категорија је заступљена 10%.</w:t>
      </w:r>
    </w:p>
    <w:p>
      <w:pPr>
        <w:spacing w:before="120"/>
        <w:ind w:firstLine="397"/>
        <w:jc w:val="both"/>
      </w:pPr>
      <w:r>
        <w:t>Од укупног броја корисника у групи одраслих (26–64 године) 48% су особе мушког а 52% особе женског пола. У односу на укупан број корисника ова категорија је заступљена 46%.</w:t>
      </w:r>
    </w:p>
    <w:p>
      <w:pPr>
        <w:spacing w:before="120"/>
        <w:ind w:firstLine="397"/>
        <w:jc w:val="both"/>
      </w:pPr>
      <w:r>
        <w:t xml:space="preserve">Код најстарије групе (65 година и више) особе мушког пола заступљене су 37%, док су жене заступљене 63%. Од укупног броја корисника социјалне заштите ова категорија заступљена је 16%. </w:t>
      </w:r>
    </w:p>
    <w:p>
      <w:pPr>
        <w:spacing w:before="120"/>
        <w:ind w:firstLine="397"/>
        <w:jc w:val="both"/>
      </w:pPr>
      <w:r>
        <w:t xml:space="preserve">Од укупног броја запослених на неодређено време у центрима за социјални рад 77% се финансира из буџета Републике Србије а 23% се финансира из локалне управе.    </w:t>
      </w:r>
    </w:p>
    <w:p>
      <w:pPr>
        <w:spacing w:before="120"/>
        <w:ind w:firstLine="397"/>
        <w:jc w:val="both"/>
      </w:pPr>
      <w:r>
        <w:t xml:space="preserve"> </w:t>
      </w:r>
    </w:p>
    <w:p>
      <w:pPr>
        <w:spacing w:before="120"/>
        <w:ind w:firstLine="397"/>
        <w:jc w:val="both"/>
      </w:pPr>
      <w:r>
        <w:t xml:space="preserve">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spacing w:after="60"/>
        <w:jc w:val="center"/>
        <w:rPr>
          <w:b w:val="1"/>
        </w:rPr>
      </w:pPr>
      <w:r>
        <w:rPr>
          <w:b w:val="1"/>
        </w:rPr>
        <w:t>Структура корисника социјалне заштите у Републици Србији, 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after="60"/>
        <w:jc w:val="center"/>
        <w:rPr>
          <w:b w:val="1"/>
        </w:rPr>
      </w:pPr>
      <w:r>
        <w:rPr>
          <w:b w:val="1"/>
        </w:rPr>
        <w:fldChar w:fldCharType="begin"/>
      </w:r>
      <w:r>
        <w:rPr>
          <w:b w:val="1"/>
        </w:rPr>
        <w:instrText xml:space="preserve"> EMBED MSGraph.Chart.8 \s </w:instrText>
      </w:r>
      <w:r>
        <w:rPr>
          <w:b w:val="1"/>
        </w:rPr>
        <w:fldChar w:fldCharType="separate"/>
      </w:r>
      <w:r>
        <w:drawing>
          <wp:inline xmlns:wp="http://schemas.openxmlformats.org/drawingml/2006/wordprocessingDrawing">
            <wp:extent cx="3866515" cy="20948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094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b w:val="1"/>
        </w:rPr>
        <w:fldChar w:fldCharType="end"/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ind w:hanging="284" w:left="284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К</w:t>
      </w:r>
      <w:r>
        <w:rPr>
          <w:b w:val="1"/>
        </w:rPr>
        <w:t>орисни</w:t>
      </w:r>
      <w:r>
        <w:rPr>
          <w:b w:val="1"/>
        </w:rPr>
        <w:t>ци који су</w:t>
      </w:r>
      <w:r>
        <w:rPr>
          <w:b w:val="1"/>
        </w:rPr>
        <w:t xml:space="preserve"> </w:t>
      </w:r>
      <w:r>
        <w:rPr>
          <w:b w:val="1"/>
        </w:rPr>
        <w:t>уписани</w:t>
      </w:r>
      <w:r>
        <w:rPr>
          <w:b w:val="1"/>
        </w:rPr>
        <w:t xml:space="preserve"> у регистар Ц</w:t>
      </w:r>
      <w:r>
        <w:rPr>
          <w:b w:val="1"/>
        </w:rPr>
        <w:t>ентра за социјални рад</w:t>
      </w:r>
      <w:r>
        <w:rPr>
          <w:b w:val="1"/>
        </w:rPr>
        <w:t xml:space="preserve"> и </w:t>
      </w:r>
      <w:r>
        <w:rPr>
          <w:b w:val="1"/>
        </w:rPr>
        <w:t>у</w:t>
      </w:r>
      <w:r>
        <w:rPr>
          <w:b w:val="1"/>
        </w:rPr>
        <w:t xml:space="preserve"> активној </w:t>
      </w:r>
      <w:r>
        <w:rPr>
          <w:b w:val="1"/>
        </w:rPr>
        <w:t>су евиденцији</w:t>
      </w:r>
      <w:r>
        <w:rPr>
          <w:b w:val="1"/>
        </w:rPr>
        <w:t xml:space="preserve"> Ц</w:t>
      </w:r>
      <w:r>
        <w:rPr>
          <w:b w:val="1"/>
        </w:rPr>
        <w:t>ентр</w:t>
      </w:r>
      <w:r>
        <w:rPr>
          <w:b w:val="1"/>
        </w:rPr>
        <w:t>а</w:t>
      </w:r>
      <w:r>
        <w:rPr>
          <w:b w:val="1"/>
        </w:rPr>
        <w:t xml:space="preserve"> за социјални рад</w:t>
      </w:r>
      <w:r>
        <w:rPr>
          <w:b w:val="1"/>
        </w:rPr>
        <w:t xml:space="preserve"> по старости и родној припадности</w:t>
      </w:r>
      <w:r>
        <w:rPr>
          <w:b w:val="1"/>
        </w:rPr>
        <w:t>, 2012.</w:t>
      </w:r>
      <w:r>
        <w:rPr>
          <w:b w:val="1"/>
        </w:rPr>
        <w:t xml:space="preserve">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38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Корисници по узрасту</w:t>
            </w:r>
          </w:p>
        </w:tc>
        <w:tc>
          <w:tcPr>
            <w:tcW w:w="391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Корисници у активној евиденцији у току извештајног периода (1.1.2012 – 31.12.2012)</w:t>
            </w:r>
          </w:p>
        </w:tc>
        <w:tc>
          <w:tcPr>
            <w:tcW w:w="391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Корисници у активној евиденцији                              на дан 31. децембра 2012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мушки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женски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мушки</w:t>
            </w: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женски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631703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304266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327437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503037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242060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260977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Деца              (0–17)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177169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94755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82414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140622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74084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66538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Млади          (18–25)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62061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31295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30766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48207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24160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24047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Одрасли      (26–64)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293048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141380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151668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234709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114252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120457</w:t>
            </w:r>
          </w:p>
        </w:tc>
      </w:tr>
      <w:tr>
        <w:trPr>
          <w:wAfter w:w="0" w:type="dxa"/>
          <w:trHeight w:hRule="atLeast" w:val="20"/>
        </w:trPr>
        <w:tc>
          <w:tcPr>
            <w:tcW w:w="238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Старији      (65 и више)</w:t>
            </w:r>
          </w:p>
        </w:tc>
        <w:tc>
          <w:tcPr>
            <w:tcW w:w="130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99425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36836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62589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79499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29564</w:t>
            </w:r>
          </w:p>
        </w:tc>
        <w:tc>
          <w:tcPr>
            <w:tcW w:w="1304" w:type="dxa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49935</w:t>
            </w:r>
          </w:p>
        </w:tc>
      </w:tr>
    </w:tbl>
    <w:p>
      <w:pPr>
        <w:ind w:hanging="284" w:left="284"/>
        <w:rPr>
          <w:b w:val="1"/>
        </w:rPr>
      </w:pPr>
    </w:p>
    <w:p>
      <w:pPr>
        <w:ind w:hanging="284" w:left="284"/>
        <w:rPr>
          <w:b w:val="1"/>
        </w:rPr>
      </w:pPr>
      <w:r>
        <w:rPr>
          <w:b w:val="1"/>
        </w:rPr>
        <w:t>2.</w:t>
      </w:r>
      <w:r>
        <w:rPr>
          <w:b w:val="1"/>
        </w:rPr>
        <w:t xml:space="preserve"> </w:t>
      </w:r>
      <w:r>
        <w:rPr>
          <w:b w:val="1"/>
        </w:rPr>
        <w:t>Корисници</w:t>
      </w:r>
      <w:r>
        <w:rPr>
          <w:b w:val="1"/>
        </w:rPr>
        <w:t xml:space="preserve"> (15 и више година) према школској спреми и родној припадности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Школска спрема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Мушки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Женски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center" w:pos="1114" w:leader="none"/>
              </w:tabs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tabs>
                <w:tab w:val="center" w:pos="1114" w:leader="none"/>
              </w:tabs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371025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176480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194545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Без школске спреме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58887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25918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32969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Непотпуна основна школа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48976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23332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25644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Основна школа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82199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39970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42229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Непотпуно образовање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25169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12892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12277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Средње образовање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63020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31918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31102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Више и високо oбразовање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9242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4385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4857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Непознато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83532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38065</w:t>
            </w:r>
          </w:p>
        </w:tc>
        <w:tc>
          <w:tcPr>
            <w:tcW w:w="2268" w:type="dxa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45467</w:t>
            </w:r>
          </w:p>
        </w:tc>
      </w:tr>
    </w:tbl>
    <w:p>
      <w:pPr>
        <w:ind w:hanging="284" w:left="284"/>
        <w:rPr>
          <w:b w:val="1"/>
        </w:rPr>
      </w:pPr>
    </w:p>
    <w:p>
      <w:pPr>
        <w:ind w:hanging="284" w:left="284"/>
        <w:rPr>
          <w:b w:val="1"/>
        </w:rPr>
      </w:pPr>
    </w:p>
    <w:p>
      <w:pPr>
        <w:ind w:hanging="284" w:left="284"/>
        <w:rPr>
          <w:b w:val="1"/>
        </w:rPr>
      </w:pPr>
      <w:r>
        <w:rPr>
          <w:b w:val="1"/>
        </w:rPr>
        <w:t>3</w:t>
      </w:r>
      <w:r>
        <w:rPr>
          <w:b w:val="1"/>
        </w:rPr>
        <w:t>. Запослени</w:t>
      </w:r>
      <w:r>
        <w:rPr>
          <w:b w:val="1"/>
        </w:rPr>
        <w:t xml:space="preserve"> у центрима за социјални рад</w:t>
      </w:r>
      <w:r>
        <w:rPr>
          <w:b w:val="1"/>
        </w:rPr>
        <w:t xml:space="preserve"> према статусу </w:t>
      </w:r>
      <w:r>
        <w:rPr>
          <w:b w:val="1"/>
        </w:rPr>
        <w:t>запослених и финансијеру радног</w:t>
      </w:r>
      <w:r>
        <w:rPr>
          <w:b w:val="1"/>
        </w:rPr>
        <w:t xml:space="preserve"> места</w:t>
      </w:r>
      <w:r>
        <w:rPr>
          <w:b w:val="1"/>
        </w:rPr>
        <w:t xml:space="preserve">, 31.12.2012.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0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Статус запосленог</w:t>
            </w:r>
          </w:p>
        </w:tc>
        <w:tc>
          <w:tcPr>
            <w:tcW w:w="226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Радници, укупно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Финансира                          Република Србија</w:t>
            </w:r>
          </w:p>
        </w:tc>
        <w:tc>
          <w:tcPr>
            <w:tcW w:w="22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Финансира локална управа</w:t>
            </w: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center" w:pos="1114" w:leader="none"/>
              </w:tabs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  <w:shd w:val="nil" w:color="auto" w:fill="auto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На неодређено време      </w:t>
            </w:r>
          </w:p>
        </w:tc>
        <w:tc>
          <w:tcPr>
            <w:tcW w:w="2268" w:type="dxa"/>
            <w:shd w:val="nil" w:color="auto" w:fill="auto"/>
            <w:vAlign w:val="bottom"/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2976</w:t>
            </w:r>
          </w:p>
        </w:tc>
        <w:tc>
          <w:tcPr>
            <w:tcW w:w="2268" w:type="dxa"/>
            <w:vAlign w:val="bottom"/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2298</w:t>
            </w:r>
          </w:p>
        </w:tc>
        <w:tc>
          <w:tcPr>
            <w:tcW w:w="2268" w:type="dxa"/>
            <w:vAlign w:val="bottom"/>
          </w:tcPr>
          <w:p>
            <w:pPr>
              <w:ind w:right="45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678</w:t>
            </w:r>
          </w:p>
        </w:tc>
      </w:tr>
    </w:tbl>
    <w:p>
      <w:pPr>
        <w:rPr>
          <w:sz w:val="40"/>
        </w:rPr>
      </w:pPr>
    </w:p>
    <w:p>
      <w:pPr>
        <w:rPr>
          <w:b w:val="1"/>
        </w:rPr>
      </w:pPr>
      <w:r>
        <w:rPr>
          <w:b w:val="1"/>
        </w:rPr>
        <w:t>4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 xml:space="preserve">Остали </w:t>
      </w:r>
      <w:r>
        <w:rPr>
          <w:b w:val="1"/>
        </w:rPr>
        <w:t xml:space="preserve">радници ангажовани у </w:t>
      </w:r>
      <w:r>
        <w:rPr>
          <w:b w:val="1"/>
        </w:rPr>
        <w:t>ц</w:t>
      </w:r>
      <w:r>
        <w:rPr>
          <w:b w:val="1"/>
        </w:rPr>
        <w:t>ентрима за социјални рад</w:t>
      </w:r>
      <w:r>
        <w:rPr>
          <w:b w:val="1"/>
        </w:rPr>
        <w:t xml:space="preserve"> према стручној спреми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40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Стручни профил радника</w:t>
            </w:r>
          </w:p>
        </w:tc>
        <w:tc>
          <w:tcPr>
            <w:tcW w:w="136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Облик ангажовања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36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по уговору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приправници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волонтери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други вид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Укупно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861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Социјални радник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Психолог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Педагог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Специјални педагог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Андрагог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Социолог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Правник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Административно-финансијски радници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Техничко особље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jc w:val="both"/>
              <w:rPr>
                <w:sz w:val="16"/>
              </w:rPr>
            </w:pPr>
            <w:r>
              <w:rPr>
                <w:sz w:val="16"/>
              </w:rPr>
              <w:t>Друго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ind w:right="34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Методолошк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напомене</w:t>
      </w:r>
    </w:p>
    <w:p>
      <w:pPr>
        <w:pStyle w:val="P37"/>
        <w:spacing w:lineRule="auto" w:line="264" w:before="120"/>
        <w:ind w:firstLine="39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Подаци о корисницима социјалне заштите, спроведеним облицима, мерама и услугама социјалне заштите, као и запосленима у центрима за социјални рад, преузимају се од Републичког завода за социјалну заштиту.</w:t>
      </w:r>
    </w:p>
    <w:p>
      <w:pPr>
        <w:pStyle w:val="P37"/>
        <w:spacing w:lineRule="auto" w:line="264" w:before="120"/>
        <w:ind w:firstLine="39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Социјална заштита је оганизована друштвена делатност од јавног интереса која се обавља у циљу оснаживања грађана за самосталан и продуктиван живот у заједници, као и за спречавање настајања и отклањања последица социјалне искључености.</w:t>
      </w:r>
    </w:p>
    <w:p>
      <w:pPr>
        <w:pStyle w:val="P37"/>
        <w:spacing w:lineRule="auto" w:line="264" w:before="120"/>
        <w:ind w:firstLine="39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Корисником социјалне заштите сматра се свако лице које је једном или више пута у току извештајне године користило одређене облике и мере социјалне заштите и услуге социјалног рада у циљу решавања социјалног случаја и чији се случај, потом, обрађује у центру за социјални рад или стручној служби скупштине општине. </w:t>
      </w:r>
    </w:p>
    <w:p>
      <w:pPr>
        <w:pStyle w:val="P37"/>
        <w:spacing w:before="120"/>
        <w:ind w:firstLine="397"/>
        <w:jc w:val="both"/>
        <w:rPr>
          <w:rFonts w:ascii="Arial" w:hAnsi="Arial"/>
          <w:color w:val="000000"/>
          <w:sz w:val="10"/>
        </w:rPr>
      </w:pPr>
    </w:p>
    <w:p>
      <w:pPr>
        <w:pStyle w:val="P37"/>
        <w:spacing w:before="120"/>
        <w:ind w:firstLine="397"/>
        <w:jc w:val="both"/>
        <w:rPr>
          <w:rFonts w:ascii="Arial" w:hAnsi="Arial"/>
          <w:color w:val="000000"/>
          <w:sz w:val="10"/>
        </w:rPr>
      </w:pPr>
    </w:p>
    <w:p/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37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 </w:t>
            </w:r>
            <w:r>
              <w:rPr>
                <w:color w:val="0000FF"/>
                <w:sz w:val="18"/>
              </w:rPr>
              <w:t>vesna.jasovic_surlan@stat.gov.rs</w:t>
            </w:r>
            <w:r>
              <w:rPr>
                <w:sz w:val="18"/>
              </w:rPr>
              <w:t xml:space="preserve">,  тел.: 011/24-12-922, локал 284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011/24-12-922 (централа) • Tелефакс: 011/24-11-260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</w:t>
          </w:r>
          <w:r>
            <w:rPr>
              <w:i w:val="1"/>
              <w:sz w:val="16"/>
            </w:rPr>
            <w:t>???</w:t>
          </w:r>
          <w:r>
            <w:rPr>
              <w:i w:val="1"/>
              <w:sz w:val="16"/>
            </w:rPr>
            <w:t xml:space="preserve"> SZ10 261211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СРБ352 СЗ10 261213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4CD7D103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67C2162B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5EAE56DC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6432FD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47C4D6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8A51163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409E4C5C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073E72E6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016EDE1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006C676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F0B95FF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5C7A203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486F095B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67050F43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218B5D5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59B2AB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211400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4CD57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001DAA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3858EC0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5E4E13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C247D6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3B32CA"/>
    <w:multiLevelType w:val="hybridMultilevel"/>
    <w:lvl w:ilvl="0" w:tplc="19BCF89D">
      <w:start w:val="1"/>
      <w:numFmt w:val="bullet"/>
      <w:suff w:val="tab"/>
      <w:lvlText w:val=""/>
      <w:lvlJc w:val="left"/>
      <w:pPr>
        <w:ind w:hanging="283" w:left="680"/>
        <w:tabs>
          <w:tab w:val="left" w:pos="680" w:leader="none"/>
        </w:tabs>
      </w:pPr>
      <w:rPr>
        <w:rFonts w:ascii="Symbol" w:hAnsi="Symbol"/>
      </w:rPr>
    </w:lvl>
    <w:lvl w:ilvl="1" w:tplc="7DB4C4F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3EB5D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AFE98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98FF0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8137F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9F541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0B9C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F211F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6">
    <w:nsid w:val="459470E3"/>
    <w:multiLevelType w:val="hybridMultilevel"/>
    <w:lvl w:ilvl="0" w:tplc="32AD466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772508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ACA2D0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4B3A34D7"/>
    <w:multiLevelType w:val="hybridMultilevel"/>
    <w:lvl w:ilvl="0" w:tplc="30F3BF2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84E89F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F95571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5B4A5D26"/>
    <w:multiLevelType w:val="hybridMultilevel"/>
    <w:lvl w:ilvl="0" w:tplc="6F75E30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1B78C2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ABF891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5FE1771C"/>
    <w:multiLevelType w:val="hybridMultilevel"/>
    <w:lvl w:ilvl="0" w:tplc="4F7AAFD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DAC27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299B7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C734E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EEDA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050B2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DED8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63BFD0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273C5C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4206A3A"/>
    <w:multiLevelType w:val="hybridMultilevel"/>
    <w:lvl w:ilvl="0" w:tplc="4F8BC471">
      <w:start w:val="1"/>
      <w:numFmt w:val="bullet"/>
      <w:suff w:val="tab"/>
      <w:lvlText w:val=""/>
      <w:lvlJc w:val="left"/>
      <w:pPr>
        <w:ind w:hanging="283" w:left="680"/>
        <w:tabs>
          <w:tab w:val="left" w:pos="680" w:leader="none"/>
        </w:tabs>
      </w:pPr>
      <w:rPr>
        <w:rFonts w:ascii="Symbol" w:hAnsi="Symbol"/>
      </w:rPr>
    </w:lvl>
    <w:lvl w:ilvl="1" w:tplc="12E2A3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F2572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D6A6F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440221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4F60DE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ED67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1AD96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0D513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4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06FA1F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5">
    <w:nsid w:val="73460594"/>
    <w:multiLevelType w:val="hybridMultilevel"/>
    <w:lvl w:ilvl="0" w:tplc="7F934645">
      <w:start w:val="3"/>
      <w:numFmt w:val="bullet"/>
      <w:suff w:val="tab"/>
      <w:lvlText w:val="-"/>
      <w:lvlJc w:val="left"/>
      <w:pPr>
        <w:ind w:hanging="360" w:left="720"/>
      </w:pPr>
      <w:rPr>
        <w:rFonts w:ascii="Arial" w:hAnsi="Arial"/>
      </w:rPr>
    </w:lvl>
    <w:lvl w:ilvl="1" w:tplc="72E34E5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23DA6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3FEF84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532D6C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224DBE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D59811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799467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FD750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4"/>
  </w:num>
  <w:num w:numId="19">
    <w:abstractNumId w:val="23"/>
  </w:num>
  <w:num w:numId="20">
    <w:abstractNumId w:val="20"/>
  </w:num>
  <w:num w:numId="21">
    <w:abstractNumId w:val="33"/>
  </w:num>
  <w:num w:numId="22">
    <w:abstractNumId w:val="26"/>
  </w:num>
  <w:num w:numId="23">
    <w:abstractNumId w:val="22"/>
  </w:num>
  <w:num w:numId="24">
    <w:abstractNumId w:val="15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32"/>
  </w:num>
  <w:num w:numId="34">
    <w:abstractNumId w:val="24"/>
  </w:num>
  <w:num w:numId="35">
    <w:abstractNumId w:val="31"/>
  </w:num>
  <w:num w:numId="36">
    <w:abstractNumId w:val="16"/>
  </w:num>
  <w:num w:numId="37">
    <w:abstractNumId w:val="35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4"/>
    <w:basedOn w:val="P0"/>
    <w:next w:val="P0"/>
    <w:qFormat/>
    <w:pPr>
      <w:keepNext w:val="1"/>
      <w:outlineLvl w:val="3"/>
    </w:pPr>
    <w:rPr>
      <w:sz w:val="32"/>
    </w:rPr>
  </w:style>
  <w:style w:type="paragraph" w:styleId="P6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qFormat/>
    <w:pPr>
      <w:spacing w:before="240" w:after="60"/>
      <w:outlineLvl w:val="6"/>
    </w:pPr>
    <w:rPr/>
  </w:style>
  <w:style w:type="paragraph" w:styleId="P9">
    <w:name w:val="Title"/>
    <w:basedOn w:val="P0"/>
    <w:next w:val="P9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qFormat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qFormat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Plain Text"/>
    <w:basedOn w:val="P0"/>
    <w:next w:val="P37"/>
    <w:pPr/>
    <w:rPr>
      <w:rFonts w:ascii="Courier New" w:hAnsi="Courier New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2014-12-12T12:51:00Z</dcterms:created>
  <cp:lastModifiedBy>Nikola Kapetanovic</cp:lastModifiedBy>
  <cp:lastPrinted>2014-11-03T09:35:00Z</cp:lastPrinted>
  <dcterms:modified xsi:type="dcterms:W3CDTF">2020-01-10T11:17:24Z</dcterms:modified>
  <cp:revision>3</cp:revision>
</cp:coreProperties>
</file>