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22DFBE" Type="http://schemas.openxmlformats.org/officeDocument/2006/relationships/officeDocument" Target="/word/document.xml" /><Relationship Id="coreR5E22DFB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</w:rPr>
            </w:pPr>
            <w:r>
              <w:rPr>
                <w:rFonts w:ascii="Arial" w:hAnsi="Arial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КС10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број 348 - год. LXIII, 30.12.2013.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Комплексно 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</w:rPr>
            </w:pPr>
            <w:r>
              <w:rPr>
                <w:rFonts w:ascii="Arial" w:hAnsi="Arial"/>
              </w:rPr>
              <w:t>СРБ348 КС10 301213</w:t>
            </w:r>
          </w:p>
        </w:tc>
      </w:tr>
    </w:tbl>
    <w:p>
      <w:pPr>
        <w:spacing w:before="960" w:after="12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Економска кретања у </w:t>
      </w:r>
      <w:r>
        <w:rPr>
          <w:rFonts w:ascii="Arial" w:hAnsi="Arial"/>
          <w:b w:val="1"/>
          <w:sz w:val="28"/>
        </w:rPr>
        <w:t>Р</w:t>
      </w:r>
      <w:r>
        <w:rPr>
          <w:rFonts w:ascii="Arial" w:hAnsi="Arial"/>
          <w:b w:val="1"/>
          <w:sz w:val="28"/>
        </w:rPr>
        <w:t xml:space="preserve">епублици </w:t>
      </w:r>
      <w:r>
        <w:rPr>
          <w:rFonts w:ascii="Arial" w:hAnsi="Arial"/>
          <w:b w:val="1"/>
          <w:sz w:val="28"/>
        </w:rPr>
        <w:t>С</w:t>
      </w:r>
      <w:r>
        <w:rPr>
          <w:rFonts w:ascii="Arial" w:hAnsi="Arial"/>
          <w:b w:val="1"/>
          <w:sz w:val="28"/>
        </w:rPr>
        <w:t>рбији</w:t>
      </w:r>
      <w:r>
        <w:rPr>
          <w:rFonts w:ascii="Arial" w:hAnsi="Arial"/>
          <w:b w:val="1"/>
          <w:sz w:val="28"/>
        </w:rPr>
        <w:t>,</w:t>
      </w:r>
      <w:r>
        <w:rPr>
          <w:rFonts w:ascii="Arial" w:hAnsi="Arial"/>
          <w:b w:val="1"/>
          <w:sz w:val="28"/>
        </w:rPr>
        <w:t xml:space="preserve"> </w:t>
      </w:r>
      <w:r>
        <w:rPr>
          <w:rFonts w:ascii="Arial" w:hAnsi="Arial"/>
          <w:b w:val="1"/>
          <w:sz w:val="28"/>
        </w:rPr>
        <w:t>201</w:t>
      </w:r>
      <w:r>
        <w:rPr>
          <w:rFonts w:ascii="Arial" w:hAnsi="Arial"/>
          <w:b w:val="1"/>
          <w:sz w:val="28"/>
        </w:rPr>
        <w:t>3</w:t>
      </w:r>
      <w:r>
        <w:rPr>
          <w:rFonts w:ascii="Arial" w:hAnsi="Arial"/>
          <w:b w:val="1"/>
          <w:sz w:val="28"/>
        </w:rPr>
        <w:t xml:space="preserve">. </w:t>
      </w: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-</w:t>
      </w:r>
      <w:r>
        <w:rPr>
          <w:rFonts w:ascii="Arial" w:hAnsi="Arial"/>
          <w:b w:val="1"/>
          <w:sz w:val="28"/>
        </w:rPr>
        <w:t xml:space="preserve"> процена</w:t>
      </w:r>
      <w:r>
        <w:rPr>
          <w:rFonts w:ascii="Arial" w:hAnsi="Arial"/>
          <w:b w:val="1"/>
          <w:sz w:val="28"/>
        </w:rPr>
        <w:t xml:space="preserve"> -</w:t>
      </w:r>
    </w:p>
    <w:p>
      <w:pPr>
        <w:pStyle w:val="P17"/>
        <w:spacing w:lineRule="auto" w:line="264" w:before="120"/>
        <w:ind w:firstLine="397"/>
        <w:jc w:val="both"/>
        <w:rPr>
          <w:rFonts w:ascii="Arial" w:hAnsi="Arial"/>
          <w:sz w:val="22"/>
        </w:rPr>
      </w:pPr>
    </w:p>
    <w:p>
      <w:pPr>
        <w:pStyle w:val="P17"/>
        <w:spacing w:lineRule="auto" w:line="264" w:before="120"/>
        <w:ind w:firstLine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Сви подаци о економским кретањима у 2013. години изнети у овом саопштењу процењени су на основу доступних и до сада објављених података. Приказани показатељи не обухватају податке за АП Косово и Метохија.</w:t>
      </w:r>
    </w:p>
    <w:p>
      <w:pPr>
        <w:pStyle w:val="P17"/>
        <w:spacing w:lineRule="auto" w:line="264" w:before="120"/>
        <w:ind w:firstLine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Најважнији макроекономски агрегат јесте бруто домаћи производ, који представља меру укупне економске активности свих резидентних институционалних јединица. Обрачуни бруто домаћег производа међународно су упоредиви. </w:t>
      </w:r>
    </w:p>
    <w:p>
      <w:pPr>
        <w:spacing w:lineRule="auto" w:line="264" w:before="120" w:after="120"/>
        <w:ind w:firstLine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Процењено је да укупне економске активности у 2013. години, мерене бруто домаћим производом и исказане у ценамa претходне године, имају реални раст од 2,4% у односу на претходну годину. Посматрано по активностима, највећи раст бруто додате вредности имају: сектор пољопривреда, шумарство и рибарство, сектор снабдевање електричном енергијом, гасом и паром и сектор прерађивачка индустрија. Пад бруто додате вредности забележен је у сектору грађевинарство, сектору остале услужне делатности и сектору трговина на велико и мало и поправка моторних возила.</w:t>
      </w:r>
    </w:p>
    <w:p>
      <w:pPr>
        <w:spacing w:lineRule="auto" w:line="264" w:before="120" w:after="120"/>
        <w:ind w:firstLine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Индустријска производња у 2013. години имала је раст физичког обима од 6,3%. Овом расту највише је допринео сектор снабдевање електричном енергијом, гасом и паром. Процењено је да је пољопривредна производња у 2013. години имала раст физичког обима од 22,1%. </w:t>
      </w:r>
    </w:p>
    <w:p>
      <w:pPr>
        <w:spacing w:lineRule="auto" w:line="264" w:before="120" w:after="120"/>
        <w:ind w:firstLine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Вредност изведених радова у грађевинарству у 2013. години бележи пад од 27,9%. Промет у трговини на мало бележи реални пад од 5,1%, док је промет у трговини на велико у благом паду. У сектору услуге смештаја и исхране у 2013. години забележен је реални раст од 0,4%, док је број ноћења повећан за 1,0%. Сектор саобраћај и складиштење имао је раст физичког обима од 2,2%, а област телекомуникација раст од 24,9%. </w:t>
      </w:r>
    </w:p>
    <w:p>
      <w:pPr>
        <w:spacing w:lineRule="auto" w:line="264" w:before="120" w:after="120"/>
        <w:ind w:firstLine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Број запослених у 2013. години мањи је у односу на претходну годину за 1,6%. Број запослених мушкараца смањен је за 1,0%, а број запослених жена за 2,4%. У овом саопштењу приказани су и подаци о стопи незапослености, која је у априлу 2013. године износила 24,1%,  а добијени су на основу Анкете о радној снази. </w:t>
      </w:r>
    </w:p>
    <w:p>
      <w:pPr>
        <w:spacing w:lineRule="auto" w:line="264" w:before="120" w:after="120"/>
        <w:ind w:firstLine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Зараде без пореза и доприноса номинално су веће у 2013. години, у односу на 2012. за 5,7%, а реално мање за 1,9%. </w:t>
      </w:r>
    </w:p>
    <w:p>
      <w:pPr>
        <w:spacing w:before="120" w:after="120"/>
        <w:ind w:firstLine="3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Процењено је да ће годишња стопа инфлације износити 2,3%.</w:t>
      </w: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p>
      <w:pPr>
        <w:jc w:val="both"/>
        <w:rPr>
          <w:rFonts w:ascii="Arial" w:hAnsi="Arial"/>
          <w:sz w:val="4"/>
        </w:rPr>
      </w:pPr>
    </w:p>
    <w:tbl>
      <w:tblPr>
        <w:tblStyle w:val="T2"/>
        <w:tblW w:w="0" w:type="auto"/>
        <w:jc w:val="center"/>
        <w:tblInd w:w="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4932" w:type="dxa"/>
            <w:gridSpan w:val="4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14"/>
              <w:spacing w:lineRule="auto" w:line="228" w:before="120" w:after="120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ВАЖНИЈИ ИНДЕКСИ ЕКОНОМСКИХ  КРЕТАЊА</w:t>
            </w:r>
          </w:p>
        </w:tc>
        <w:tc>
          <w:tcPr>
            <w:tcW w:w="4933" w:type="dxa"/>
            <w:gridSpan w:val="4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pStyle w:val="P7"/>
              <w:spacing w:lineRule="auto" w:line="228" w:before="120" w:after="120"/>
              <w:jc w:val="right"/>
              <w:rPr>
                <w:sz w:val="18"/>
              </w:rPr>
            </w:pPr>
            <w:r>
              <w:rPr>
                <w:sz w:val="18"/>
              </w:rPr>
              <w:t>GENERAL INDICES OF ECONOMIC TRENDS</w:t>
            </w:r>
          </w:p>
        </w:tc>
      </w:tr>
      <w:tr>
        <w:trPr>
          <w:wAfter w:w="0" w:type="dxa"/>
        </w:trPr>
        <w:tc>
          <w:tcPr>
            <w:tcW w:w="2947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33" w:before="40" w:after="40"/>
              <w:ind w:hanging="170" w:left="170"/>
              <w:rPr>
                <w:rFonts w:ascii="Arial" w:hAnsi="Arial"/>
                <w:sz w:val="16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33"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Индекси: претходна година = 100</w:t>
            </w:r>
          </w:p>
          <w:p>
            <w:pPr>
              <w:spacing w:lineRule="auto" w:line="233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Indices:</w:t>
            </w:r>
            <w:r>
              <w:rPr>
                <w:rFonts w:ascii="Arial" w:hAnsi="Arial"/>
                <w:i w:val="1"/>
                <w:sz w:val="16"/>
              </w:rPr>
              <w:t xml:space="preserve"> previous year = 100</w:t>
            </w:r>
          </w:p>
        </w:tc>
        <w:tc>
          <w:tcPr>
            <w:tcW w:w="2948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33" w:before="40" w:after="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327"/>
        </w:trPr>
        <w:tc>
          <w:tcPr>
            <w:tcW w:w="2947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33" w:before="40" w:after="40"/>
              <w:ind w:hanging="170" w:left="170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2009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2010</w:t>
            </w:r>
          </w:p>
        </w:tc>
        <w:tc>
          <w:tcPr>
            <w:tcW w:w="79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2011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2012</w:t>
            </w: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2013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2948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33" w:before="40" w:after="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ind w:hanging="170" w:left="170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bottom w:val="none" w:sz="0" w:space="0" w:shadow="0" w:frame="0"/>
            </w:tcBorders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single" w:sz="4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</w:tcPr>
          <w:p>
            <w:pPr>
              <w:spacing w:lineRule="auto" w:line="233"/>
              <w:ind w:hanging="170" w:left="17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spacing w:lineRule="auto" w:line="233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Бруто домаћи производ</w:t>
            </w:r>
            <w:r>
              <w:rPr>
                <w:rFonts w:ascii="Arial" w:hAnsi="Arial"/>
                <w:b w:val="0"/>
                <w:sz w:val="16"/>
              </w:rPr>
              <w:t xml:space="preserve">,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2"/>
              <w:spacing w:lineRule="auto" w:line="233" w:before="0" w:after="0"/>
              <w:rPr>
                <w:sz w:val="16"/>
              </w:rPr>
            </w:pPr>
            <w:r>
              <w:rPr>
                <w:sz w:val="16"/>
              </w:rPr>
              <w:t>Gross domestic product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сталне цене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2948" w:type="dxa"/>
            <w:tcBorders>
              <w:left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3"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At constant prices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33" w:before="0" w:after="0"/>
              <w:rPr>
                <w:sz w:val="16"/>
              </w:rPr>
            </w:pPr>
            <w:r>
              <w:rPr>
                <w:sz w:val="16"/>
              </w:rPr>
              <w:t>Физички обим производње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33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Physical volume of production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82,3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122,1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6"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Agriculture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Искоришћавање шума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6"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Forests exploitation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794" w:type="dxa"/>
            <w:tcBorders>
              <w:top w:val="none" w:sz="0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106,3 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6"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Industry</w:t>
            </w:r>
          </w:p>
        </w:tc>
      </w:tr>
      <w:tr>
        <w:trPr>
          <w:wAfter w:w="0" w:type="dxa"/>
          <w:trHeight w:hRule="atLeast" w:val="271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Грађевинарство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93,7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widowControl w:val="1"/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72,1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6"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Construction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33" w:before="0" w:after="0"/>
              <w:rPr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33" w:before="0" w:after="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33" w:before="0" w:after="0"/>
              <w:rPr>
                <w:sz w:val="16"/>
              </w:rPr>
            </w:pPr>
            <w:r>
              <w:rPr>
                <w:sz w:val="16"/>
              </w:rPr>
              <w:t>Унутрашња трговина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33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Domestic trade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Промет у трговини на велико, осим</w:t>
            </w:r>
          </w:p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трговине моторним возилима, </w:t>
            </w:r>
          </w:p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текуће цене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111,1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Wholesale trade, excluding motor vehicles trade, current prices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Промет у трговини на мало, осим </w:t>
            </w:r>
          </w:p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трговине моторним возилима, </w:t>
            </w:r>
          </w:p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сталне цене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94,9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Retail trade, excluding motor vehicles trade, constant prices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33" w:before="0" w:after="0"/>
              <w:rPr>
                <w:sz w:val="16"/>
              </w:rPr>
            </w:pPr>
            <w:r>
              <w:rPr>
                <w:sz w:val="16"/>
              </w:rPr>
              <w:t>Спољнотрговинска робна размена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33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External trade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Извоз, мил. евра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124,0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126,3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Export, mill. EUR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Увоз, мил. евра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105,2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Import, mill. EUR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33" w:before="0" w:after="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33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Accommodation and food service activities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Угоститељство – сталне цене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Catering - constant prices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Туристи, ноћења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94,9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Tourists, nights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33" w:before="0" w:after="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spacing w:lineRule="auto" w:line="233" w:before="0" w:after="0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Transport</w:t>
            </w:r>
            <w:r>
              <w:rPr>
                <w:rFonts w:ascii="Arial" w:hAnsi="Arial"/>
                <w:i w:val="0"/>
                <w:sz w:val="16"/>
              </w:rPr>
              <w:t>а</w:t>
            </w:r>
            <w:r>
              <w:rPr>
                <w:rFonts w:ascii="Arial" w:hAnsi="Arial"/>
                <w:i w:val="0"/>
                <w:sz w:val="16"/>
              </w:rPr>
              <w:t>tion</w:t>
            </w:r>
            <w:r>
              <w:rPr>
                <w:rFonts w:ascii="Arial" w:hAnsi="Arial"/>
                <w:i w:val="0"/>
                <w:sz w:val="16"/>
              </w:rPr>
              <w:t xml:space="preserve"> and </w:t>
            </w:r>
            <w:r>
              <w:rPr>
                <w:rFonts w:ascii="Arial" w:hAnsi="Arial"/>
                <w:i w:val="0"/>
                <w:sz w:val="16"/>
              </w:rPr>
              <w:t>storage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 – укупно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Transport - all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Превоз путника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6"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Passenger transported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Превоз робе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125,1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6"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Goods transported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Поштанске активности и телекомуникације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Posted activities and telecommunication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Делатност пошта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6"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activities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Телекомуникације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124,9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6" w:left="3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Telecommunication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33" w:before="0" w:after="0"/>
              <w:rPr>
                <w:sz w:val="16"/>
              </w:rPr>
            </w:pPr>
            <w:r>
              <w:rPr>
                <w:sz w:val="16"/>
              </w:rPr>
              <w:t>Цене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33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Prices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b w:val="1"/>
                <w:i w:val="1"/>
                <w:sz w:val="16"/>
              </w:rPr>
            </w:pPr>
            <w:r>
              <w:rPr>
                <w:b w:val="0"/>
                <w:i w:val="0"/>
                <w:sz w:val="16"/>
              </w:rPr>
              <w:t>Цене произвођача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4"/>
              <w:spacing w:lineRule="auto" w:line="233"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Producers’ prices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ind w:left="170"/>
              <w:rPr>
                <w:b w:val="1"/>
                <w:i w:val="1"/>
                <w:sz w:val="16"/>
              </w:rPr>
            </w:pPr>
            <w:r>
              <w:rPr>
                <w:b w:val="0"/>
                <w:i w:val="0"/>
                <w:sz w:val="16"/>
              </w:rPr>
              <w:t>Индустријских производа</w:t>
            </w:r>
            <w:r>
              <w:rPr>
                <w:b w:val="0"/>
                <w:i w:val="0"/>
                <w:sz w:val="16"/>
              </w:rPr>
              <w:t xml:space="preserve"> за домаће тржишт</w:t>
            </w:r>
            <w:r>
              <w:rPr>
                <w:b w:val="0"/>
                <w:i w:val="0"/>
                <w:sz w:val="16"/>
              </w:rPr>
              <w:t>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112,7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 manufactured goods for domestic market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ind w:left="170"/>
              <w:rPr>
                <w:b w:val="1"/>
                <w:i w:val="1"/>
                <w:sz w:val="16"/>
              </w:rPr>
            </w:pPr>
            <w:r>
              <w:rPr>
                <w:b w:val="0"/>
                <w:i w:val="0"/>
                <w:sz w:val="16"/>
              </w:rPr>
              <w:t>Производа пољопривреде и рибарства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114,9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Of agricultural and fishery products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i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b w:val="1"/>
                <w:i w:val="1"/>
                <w:sz w:val="16"/>
              </w:rPr>
            </w:pPr>
            <w:r>
              <w:rPr>
                <w:b w:val="0"/>
                <w:i w:val="0"/>
                <w:sz w:val="16"/>
              </w:rPr>
              <w:t>Потрошачке цене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106,5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107,8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Consumer prices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b w:val="1"/>
                <w:i w:val="1"/>
                <w:sz w:val="16"/>
              </w:rPr>
            </w:pPr>
            <w:r>
              <w:rPr>
                <w:b w:val="0"/>
                <w:i w:val="0"/>
                <w:sz w:val="16"/>
              </w:rPr>
              <w:t>Годишња</w:t>
            </w:r>
            <w:r>
              <w:rPr>
                <w:b w:val="0"/>
                <w:i w:val="0"/>
                <w:sz w:val="16"/>
              </w:rPr>
              <w:t xml:space="preserve"> стопа</w:t>
            </w:r>
            <w:r>
              <w:rPr>
                <w:b w:val="0"/>
                <w:i w:val="0"/>
                <w:sz w:val="16"/>
              </w:rPr>
              <w:t xml:space="preserve"> инфлације</w:t>
            </w:r>
            <w:r>
              <w:rPr>
                <w:b w:val="0"/>
                <w:i w:val="0"/>
                <w:sz w:val="16"/>
                <w:vertAlign w:val="superscript"/>
              </w:rPr>
              <w:t>2)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10,3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3"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Annual inflation rate</w:t>
            </w: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b w:val="1"/>
                <w:i w:val="1"/>
                <w:sz w:val="16"/>
              </w:rPr>
            </w:pPr>
            <w:r>
              <w:rPr>
                <w:b w:val="0"/>
                <w:i w:val="0"/>
                <w:sz w:val="16"/>
              </w:rPr>
              <w:t>Цене угоститељских услуга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105,1     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Prices of catering services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i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spacing w:lineRule="auto" w:line="233" w:before="0" w:after="0"/>
              <w:rPr>
                <w:sz w:val="16"/>
              </w:rPr>
            </w:pPr>
            <w:r>
              <w:rPr>
                <w:sz w:val="16"/>
              </w:rPr>
              <w:t>Запослени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5"/>
              <w:spacing w:lineRule="auto" w:line="233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Employees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94,5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95,1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97,2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98,9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Мушкарци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94,2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99,0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Men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Жене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97,6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Women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i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i w:val="1"/>
                <w:sz w:val="16"/>
              </w:rPr>
            </w:pPr>
            <w:r>
              <w:rPr>
                <w:i w:val="0"/>
                <w:sz w:val="16"/>
              </w:rPr>
              <w:t xml:space="preserve">Просечне зараде </w:t>
            </w:r>
          </w:p>
          <w:p>
            <w:pPr>
              <w:pStyle w:val="P3"/>
              <w:spacing w:lineRule="auto" w:line="233" w:before="0" w:after="0"/>
              <w:rPr>
                <w:i w:val="1"/>
                <w:sz w:val="16"/>
              </w:rPr>
            </w:pPr>
            <w:r>
              <w:rPr>
                <w:i w:val="0"/>
                <w:sz w:val="16"/>
              </w:rPr>
              <w:t>без пореза и доприноса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17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Average salaries (wages) </w:t>
            </w:r>
          </w:p>
          <w:p>
            <w:pPr>
              <w:spacing w:lineRule="auto" w:line="233"/>
              <w:ind w:hanging="170" w:left="170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tax and contributions deducted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b w:val="1"/>
                <w:i w:val="1"/>
                <w:sz w:val="16"/>
              </w:rPr>
            </w:pPr>
            <w:r>
              <w:rPr>
                <w:b w:val="0"/>
                <w:i w:val="0"/>
                <w:sz w:val="16"/>
              </w:rPr>
              <w:t>Номиналне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109,0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105,7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4"/>
              <w:spacing w:lineRule="auto" w:line="233"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Nominal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b w:val="1"/>
                <w:i w:val="1"/>
                <w:sz w:val="16"/>
              </w:rPr>
            </w:pPr>
            <w:r>
              <w:rPr>
                <w:b w:val="0"/>
                <w:i w:val="0"/>
                <w:sz w:val="16"/>
              </w:rPr>
              <w:t>Реалне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33"/>
              <w:ind w:right="11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4"/>
              <w:spacing w:lineRule="auto" w:line="233" w:before="0" w:after="0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Real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ind w:left="170"/>
              <w:rPr>
                <w:b w:val="1"/>
                <w:i w:val="1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rPr>
                <w:i w:val="1"/>
                <w:sz w:val="16"/>
              </w:rPr>
            </w:pPr>
            <w:r>
              <w:rPr>
                <w:i w:val="0"/>
                <w:sz w:val="16"/>
              </w:rPr>
              <w:t>Стопа незапослености</w:t>
            </w:r>
            <w:r>
              <w:rPr>
                <w:i w:val="0"/>
                <w:sz w:val="16"/>
                <w:vertAlign w:val="superscript"/>
              </w:rPr>
              <w:t>3</w:t>
            </w:r>
            <w:r>
              <w:rPr>
                <w:i w:val="0"/>
                <w:sz w:val="16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Unemployment rate</w:t>
            </w:r>
            <w:r>
              <w:rPr>
                <w:rFonts w:ascii="Arial" w:hAnsi="Arial"/>
                <w:sz w:val="16"/>
                <w:vertAlign w:val="superscript"/>
              </w:rPr>
              <w:t>3)</w:t>
            </w:r>
          </w:p>
        </w:tc>
      </w:tr>
      <w:tr>
        <w:trPr>
          <w:wAfter w:w="0" w:type="dxa"/>
        </w:trPr>
        <w:tc>
          <w:tcPr>
            <w:tcW w:w="294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spacing w:lineRule="auto" w:line="233" w:before="0" w:after="0"/>
              <w:ind w:left="170"/>
              <w:rPr>
                <w:b w:val="1"/>
                <w:i w:val="1"/>
                <w:sz w:val="16"/>
              </w:rPr>
            </w:pPr>
            <w:r>
              <w:rPr>
                <w:b w:val="0"/>
                <w:i w:val="0"/>
                <w:sz w:val="16"/>
              </w:rPr>
              <w:t>Април</w:t>
            </w:r>
          </w:p>
        </w:tc>
        <w:tc>
          <w:tcPr>
            <w:tcW w:w="79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15,6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19,2</w:t>
            </w:r>
          </w:p>
        </w:tc>
        <w:tc>
          <w:tcPr>
            <w:tcW w:w="794" w:type="dxa"/>
            <w:gridSpan w:val="2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22,2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25,5</w:t>
            </w:r>
          </w:p>
        </w:tc>
        <w:tc>
          <w:tcPr>
            <w:tcW w:w="794" w:type="dxa"/>
            <w:tcBorders>
              <w:top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3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24,1</w:t>
            </w:r>
          </w:p>
        </w:tc>
        <w:tc>
          <w:tcPr>
            <w:tcW w:w="2948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33"/>
              <w:ind w:hanging="170" w:left="3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April</w:t>
            </w:r>
          </w:p>
        </w:tc>
      </w:tr>
    </w:tbl>
    <w:p>
      <w:pPr>
        <w:rPr>
          <w:sz w:val="16"/>
        </w:rPr>
      </w:pPr>
    </w:p>
    <w:p>
      <w:pPr>
        <w:rPr>
          <w:sz w:val="16"/>
        </w:rPr>
      </w:pPr>
    </w:p>
    <w:tbl>
      <w:tblPr>
        <w:tblStyle w:val="T2"/>
        <w:tblW w:w="0" w:type="auto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4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6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1)</w:t>
            </w:r>
            <w:r>
              <w:rPr>
                <w:rFonts w:ascii="Arial" w:hAnsi="Arial"/>
              </w:rPr>
              <w:t xml:space="preserve"> Процена.</w:t>
            </w:r>
          </w:p>
          <w:p>
            <w:pPr>
              <w:pStyle w:val="P16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2)</w:t>
            </w:r>
            <w:r>
              <w:rPr>
                <w:rFonts w:ascii="Arial" w:hAnsi="Arial"/>
              </w:rPr>
              <w:t xml:space="preserve"> Децембар текуће у односу на децембар претходне године.</w:t>
            </w:r>
          </w:p>
          <w:p>
            <w:pPr>
              <w:pStyle w:val="P16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3)</w:t>
            </w:r>
            <w:r>
              <w:rPr>
                <w:rFonts w:ascii="Arial" w:hAnsi="Arial"/>
              </w:rPr>
              <w:t xml:space="preserve"> Извор: Анкета о радној снази.</w:t>
            </w:r>
          </w:p>
        </w:tc>
        <w:tc>
          <w:tcPr>
            <w:tcW w:w="1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4"/>
              </w:rPr>
            </w:pPr>
          </w:p>
        </w:tc>
        <w:tc>
          <w:tcPr>
            <w:tcW w:w="476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21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1)</w:t>
            </w:r>
            <w:r>
              <w:rPr>
                <w:rFonts w:ascii="Arial" w:hAnsi="Arial"/>
              </w:rPr>
              <w:t xml:space="preserve"> Estimated.</w:t>
            </w:r>
          </w:p>
          <w:p>
            <w:pPr>
              <w:pStyle w:val="P21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2)</w:t>
            </w:r>
            <w:r>
              <w:rPr>
                <w:rFonts w:ascii="Arial" w:hAnsi="Arial"/>
              </w:rPr>
              <w:t xml:space="preserve"> December of current year on the bases of the previous year.</w:t>
            </w:r>
          </w:p>
          <w:p>
            <w:pPr>
              <w:pStyle w:val="P21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3)</w:t>
            </w:r>
            <w:r>
              <w:rPr>
                <w:rFonts w:ascii="Arial" w:hAnsi="Arial"/>
              </w:rPr>
              <w:t xml:space="preserve"> Source: Labor Force Survey.</w:t>
            </w:r>
          </w:p>
        </w:tc>
      </w:tr>
    </w:tbl>
    <w:p>
      <w:pPr>
        <w:ind w:left="198" w:right="29"/>
        <w:jc w:val="center"/>
        <w:rPr>
          <w:rFonts w:ascii="Arial" w:hAnsi="Arial"/>
          <w:sz w:val="28"/>
        </w:rPr>
      </w:pPr>
    </w:p>
    <w:tbl>
      <w:tblPr>
        <w:tblStyle w:val="T2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2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1927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928" w:type="dxa"/>
          </w:tcPr>
          <w:p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24-12-922 (централа) • Tелефакс: 011 24-11-260 • www.stat.gov.rs</w:t>
        <w:br w:type="textWrapping"/>
        <w:t xml:space="preserve">Одговара: проф. др Драган Вукмировић, директор </w:t>
        <w:br w:type="textWrapping"/>
        <w:t xml:space="preserve">Tираж: 20 ● Периодика излажења: годишња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021" w:bottom="1021" w:header="720" w:footer="851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rPr>
        <w:rStyle w:val="C3"/>
        <w:sz w:val="20"/>
      </w:rPr>
    </w:pPr>
    <w:r>
      <w:fldChar w:fldCharType="begin"/>
    </w:r>
    <w:r>
      <w:rPr>
        <w:rStyle w:val="C3"/>
        <w:sz w:val="20"/>
      </w:rPr>
      <w:instrText xml:space="preserve">PAGE  </w:instrText>
    </w:r>
    <w:r>
      <w:rPr>
        <w:rStyle w:val="C3"/>
        <w:sz w:val="20"/>
      </w:rPr>
      <w:fldChar w:fldCharType="separate"/>
    </w:r>
    <w:r>
      <w:rPr>
        <w:rStyle w:val="C3"/>
        <w:sz w:val="20"/>
      </w:rPr>
      <w:t>#</w:t>
    </w:r>
    <w:r>
      <w:rPr>
        <w:rStyle w:val="C3"/>
        <w:sz w:val="20"/>
      </w:rPr>
      <w:fldChar w:fldCharType="end"/>
    </w:r>
  </w:p>
  <w:p>
    <w:pPr>
      <w:pStyle w:val="P9"/>
      <w:pBdr>
        <w:top w:val="single" w:sz="4" w:space="0" w:shadow="0" w:frame="0"/>
      </w:pBdr>
      <w:rPr>
        <w:rStyle w:val="C3"/>
      </w:rPr>
    </w:pPr>
    <w:r>
      <w:rPr>
        <w:rStyle w:val="C3"/>
        <w:rFonts w:ascii="Arial" w:hAnsi="Arial"/>
        <w:sz w:val="16"/>
      </w:rPr>
      <w:t>СРБ70 ШУ10 301104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9"/>
      <w:pBdr>
        <w:top w:val="single" w:sz="4" w:space="0" w:shadow="0" w:frame="0"/>
      </w:pBdr>
      <w:jc w:val="right"/>
      <w:rPr>
        <w:sz w:val="16"/>
      </w:rPr>
    </w:pPr>
    <w:r>
      <w:rPr>
        <w:rStyle w:val="C3"/>
        <w:rFonts w:ascii="Arial" w:hAnsi="Arial"/>
        <w:sz w:val="16"/>
      </w:rPr>
      <w:t>СРБ348 КС10 301213</w:t>
    </w:r>
  </w:p>
</w:ftr>
</file>

<file path=word/numbering.xml><?xml version="1.0" encoding="utf-8"?>
<w:numbering xmlns:w="http://schemas.openxmlformats.org/wordprocessingml/2006/main">
  <w:abstractNum w:abstractNumId="0">
    <w:nsid w:val="18757E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7321B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B9800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4"/>
    <w:basedOn w:val="P0"/>
    <w:next w:val="P0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6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7">
    <w:name w:val="Heading 6"/>
    <w:basedOn w:val="P0"/>
    <w:next w:val="P0"/>
    <w:qFormat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Foot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Body Text Indent"/>
    <w:basedOn w:val="P0"/>
    <w:next w:val="P11"/>
    <w:pPr>
      <w:ind w:firstLine="360" w:left="360"/>
      <w:jc w:val="both"/>
    </w:pPr>
    <w:rPr>
      <w:rFonts w:ascii="Arial" w:hAnsi="Arial"/>
      <w:sz w:val="20"/>
    </w:rPr>
  </w:style>
  <w:style w:type="paragraph" w:styleId="P12">
    <w:name w:val="Plain Text"/>
    <w:basedOn w:val="P0"/>
    <w:next w:val="P12"/>
    <w:pPr/>
    <w:rPr>
      <w:rFonts w:ascii="Courier New" w:hAnsi="Courier New"/>
      <w:sz w:val="20"/>
    </w:rPr>
  </w:style>
  <w:style w:type="paragraph" w:styleId="P13">
    <w:name w:val="Body Text Indent 2"/>
    <w:basedOn w:val="P0"/>
    <w:next w:val="P13"/>
    <w:pPr>
      <w:ind w:firstLine="720"/>
      <w:jc w:val="both"/>
    </w:pPr>
    <w:rPr>
      <w:rFonts w:ascii="Arial" w:hAnsi="Arial"/>
      <w:sz w:val="20"/>
    </w:rPr>
  </w:style>
  <w:style w:type="paragraph" w:styleId="P14">
    <w:name w:val="Balloon Text"/>
    <w:basedOn w:val="P0"/>
    <w:next w:val="P14"/>
    <w:pPr>
      <w:widowControl w:val="0"/>
    </w:pPr>
    <w:rPr>
      <w:rFonts w:ascii="Tahoma" w:hAnsi="Tahoma"/>
      <w:sz w:val="16"/>
    </w:rPr>
  </w:style>
  <w:style w:type="paragraph" w:styleId="P15">
    <w:name w:val="pod"/>
    <w:basedOn w:val="P0"/>
    <w:next w:val="P15"/>
    <w:pPr>
      <w:widowControl w:val="0"/>
      <w:ind w:right="113"/>
      <w:jc w:val="right"/>
    </w:pPr>
    <w:rPr>
      <w:rFonts w:ascii="CTimesRoman" w:hAnsi="CTimesRoman"/>
      <w:sz w:val="14"/>
    </w:rPr>
  </w:style>
  <w:style w:type="paragraph" w:styleId="P16">
    <w:name w:val="fus"/>
    <w:basedOn w:val="P0"/>
    <w:next w:val="P16"/>
    <w:pPr>
      <w:widowControl w:val="0"/>
      <w:ind w:hanging="113" w:left="113"/>
      <w:jc w:val="both"/>
    </w:pPr>
    <w:rPr>
      <w:rFonts w:ascii="CTimesRoman" w:hAnsi="CTimesRoman"/>
      <w:sz w:val="14"/>
    </w:rPr>
  </w:style>
  <w:style w:type="paragraph" w:styleId="P17">
    <w:name w:val="Body Text"/>
    <w:basedOn w:val="P0"/>
    <w:next w:val="P17"/>
    <w:pPr>
      <w:spacing w:after="120"/>
    </w:pPr>
    <w:rPr/>
  </w:style>
  <w:style w:type="paragraph" w:styleId="P18">
    <w:name w:val="Title"/>
    <w:basedOn w:val="P0"/>
    <w:next w:val="P18"/>
    <w:qFormat/>
    <w:pPr>
      <w:jc w:val="center"/>
    </w:pPr>
    <w:rPr>
      <w:rFonts w:ascii="Arial" w:hAnsi="Arial"/>
      <w:b w:val="1"/>
    </w:rPr>
  </w:style>
  <w:style w:type="paragraph" w:styleId="P19">
    <w:name w:val="Body Text Indent 3"/>
    <w:basedOn w:val="P0"/>
    <w:next w:val="P19"/>
    <w:pPr>
      <w:ind w:firstLine="720"/>
      <w:jc w:val="both"/>
    </w:pPr>
    <w:rPr>
      <w:rFonts w:ascii="Arial" w:hAnsi="Arial"/>
      <w:sz w:val="22"/>
    </w:rPr>
  </w:style>
  <w:style w:type="paragraph" w:styleId="P20">
    <w:name w:val="Car Car"/>
    <w:basedOn w:val="P0"/>
    <w:next w:val="P20"/>
    <w:pPr>
      <w:spacing w:lineRule="exact" w:line="240" w:after="160"/>
    </w:pPr>
    <w:rPr>
      <w:rFonts w:ascii="Verdana" w:hAnsi="Verdana"/>
      <w:i w:val="1"/>
      <w:sz w:val="20"/>
    </w:rPr>
  </w:style>
  <w:style w:type="paragraph" w:styleId="P21">
    <w:name w:val="fuse"/>
    <w:basedOn w:val="P16"/>
    <w:next w:val="P21"/>
    <w:pPr/>
    <w:rPr>
      <w:rFonts w:ascii="TimesRoman" w:hAnsi="Times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2012-12-27T08:42:00Z</dcterms:created>
  <cp:lastModifiedBy>Nikola Kapetanovic</cp:lastModifiedBy>
  <cp:lastPrinted>2013-12-26T13:23:00Z</cp:lastPrinted>
  <dcterms:modified xsi:type="dcterms:W3CDTF">2020-01-10T11:17:24Z</dcterms:modified>
  <cp:revision>75</cp:revision>
  <dc:title>Република Србија</dc:title>
</cp:coreProperties>
</file>