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8B6AEF" Type="http://schemas.openxmlformats.org/officeDocument/2006/relationships/officeDocument" Target="/word/document.xml" /><Relationship Id="coreR4E8B6A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i w:val="0"/>
              </w:rPr>
            </w:pPr>
            <w:r>
              <w:rPr>
                <w:b w:val="0"/>
                <w:i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НР30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347 - год. LXIII, 26.12. 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347</w:t>
            </w:r>
            <w:r>
              <w:rPr>
                <w:b w:val="0"/>
                <w:sz w:val="20"/>
              </w:rPr>
              <w:t xml:space="preserve"> НР30 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612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8"/>
        </w:rPr>
      </w:pPr>
    </w:p>
    <w:p>
      <w:pPr>
        <w:jc w:val="right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Бруто домаћи производ </w:t>
      </w: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Републи</w:t>
      </w:r>
      <w:r>
        <w:rPr>
          <w:rFonts w:ascii="Arial" w:hAnsi="Arial"/>
          <w:b w:val="1"/>
        </w:rPr>
        <w:t>ци</w:t>
      </w:r>
      <w:r>
        <w:rPr>
          <w:rFonts w:ascii="Arial" w:hAnsi="Arial"/>
          <w:b w:val="1"/>
        </w:rPr>
        <w:t xml:space="preserve"> Србиј</w:t>
      </w:r>
      <w:r>
        <w:rPr>
          <w:rFonts w:ascii="Arial" w:hAnsi="Arial"/>
          <w:b w:val="1"/>
        </w:rPr>
        <w:t>и</w:t>
      </w:r>
      <w:r>
        <w:rPr>
          <w:rFonts w:ascii="Arial" w:hAnsi="Arial"/>
          <w:b w:val="1"/>
        </w:rPr>
        <w:t xml:space="preserve">, </w:t>
      </w:r>
      <w:r>
        <w:rPr>
          <w:rFonts w:ascii="Arial" w:hAnsi="Arial"/>
          <w:b w:val="1"/>
        </w:rPr>
        <w:t>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>.</w:t>
      </w:r>
    </w:p>
    <w:p>
      <w:pPr>
        <w:ind w:left="198" w:right="198"/>
        <w:jc w:val="center"/>
        <w:rPr>
          <w:rFonts w:ascii="Arial" w:hAnsi="Arial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објављује резултате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годишњег обрачуна бруто домаћег производа (БДП) према производном и расходном приступу, у текућим и сталним ценама, за 2012. годину.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Бруто домаћи производ у 2012. години износио је, у текућим ценама, 3 348 689,2 мил. РСД. У односу на претходну годину, БДП номинално је већи за 4,4%.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по делатностима, у 2012. години најзначајније учешће у формирању БДП-а имају: сектор прерађивачке индустрије, 14,4%, сектор пословања некретнинама, 10,0%, сектор трговине на велико и мало и поправке моторних возила, 9,5% и сектор пољопривреде, шумарства и рибарства, 8,3%. С друге стране, у употреби БДП-а учешће издатака за личну потрошњу домаћинстава је 76,0%, издатака за финалну потрошњу државе, 19,9%, бруто инвестиција у основне фондове, 21,4%, извоза робе и услуга, 40,3% и увоза робе и услуга, 58,2%.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Реални пад БДП-а у 2012. години, у односу на претходну годину, износио је 1,5%.</w:t>
      </w:r>
    </w:p>
    <w:p>
      <w:pPr>
        <w:spacing w:before="120" w:after="120"/>
        <w:ind w:firstLine="40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делатностима, у 2012. години у сектору прерађивачке индустрије остварен је реални раст бруто додате вредности од 1,1%, сектору финансијских делатности и делатности осигурања, 4,0% и сектору информисања и комуникација, 4,8%. Највећи реални пад бруто додате вредности забележен је у сектору пољопривреде, шумарства и рибарства, 17,3% и сектору снабдевања електричном енергијом, гасом и паром, 7,1%. Посматрано са расходне стране, највећи реални раст бележе бруто инвестиције у основне фондове, 14,4%, док издаци за личну потрошњу домаћинстава имају реалан пад, 1,9%.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left="198" w:right="198"/>
        <w:rPr>
          <w:rFonts w:ascii="Arial" w:hAnsi="Arial"/>
          <w:sz w:val="20"/>
        </w:rPr>
      </w:pPr>
    </w:p>
    <w:tbl>
      <w:tblPr>
        <w:tblStyle w:val="T2"/>
        <w:tblW w:w="9982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gridAfter w:val="1"/>
          <w:wAfter w:w="86" w:type="dxa"/>
        </w:trPr>
        <w:tc>
          <w:tcPr>
            <w:tcW w:w="9896" w:type="dxa"/>
            <w:gridSpan w:val="8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1. Бруто домаћи производ </w:t>
            </w:r>
            <w:r>
              <w:rPr>
                <w:rFonts w:ascii="Arial" w:hAnsi="Arial"/>
                <w:b w:val="1"/>
                <w:sz w:val="20"/>
              </w:rPr>
              <w:t xml:space="preserve">и бруто национални доходак </w:t>
            </w:r>
          </w:p>
        </w:tc>
      </w:tr>
      <w:tr>
        <w:trPr>
          <w:gridAfter w:val="1"/>
          <w:wAfter w:w="86" w:type="dxa"/>
        </w:trPr>
        <w:tc>
          <w:tcPr>
            <w:tcW w:w="9896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40" w:after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gridBefore w:val="1"/>
          <w:wBefore w:w="56" w:type="dxa"/>
          <w:wAfter w:w="0" w:type="dxa"/>
          <w:trHeight w:hRule="atLeast" w:val="215"/>
        </w:trPr>
        <w:tc>
          <w:tcPr>
            <w:tcW w:w="4252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1420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57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bookmarkStart w:id="0" w:name="OLE_LINK1"/>
            <w:r>
              <w:rPr>
                <w:rFonts w:ascii="Arial" w:hAnsi="Arial"/>
                <w:b w:val="1"/>
                <w:sz w:val="15"/>
              </w:rPr>
              <w:t>3208620,2</w:t>
            </w:r>
            <w:bookmarkEnd w:id="0"/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3348689,2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371555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395243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443541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465155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Просечан број становника, средином године – у хиљ. 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7320,8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7291,4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7234,1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7199,1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40313,6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36991,6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43751,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</w:t>
            </w:r>
            <w:r>
              <w:rPr>
                <w:rFonts w:ascii="Arial" w:hAnsi="Arial"/>
                <w:b w:val="1"/>
                <w:sz w:val="15"/>
              </w:rPr>
              <w:t>002,8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5507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5073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6048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5279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Просечан курс, USD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67,4731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77,9066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73,3382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88,1169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БРУТО ДОМАЋИ ПРОИЗВОД – укупно, мил. </w:t>
            </w:r>
            <w:r>
              <w:rPr>
                <w:rFonts w:ascii="Arial" w:hAnsi="Arial"/>
                <w:b w:val="1"/>
                <w:sz w:val="15"/>
              </w:rPr>
              <w:t>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2895</w:t>
            </w:r>
            <w:r>
              <w:rPr>
                <w:rFonts w:ascii="Arial" w:hAnsi="Arial"/>
                <w:b w:val="1"/>
                <w:sz w:val="15"/>
              </w:rPr>
              <w:t>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</w:t>
            </w:r>
            <w:r>
              <w:rPr>
                <w:rFonts w:ascii="Arial" w:hAnsi="Arial"/>
                <w:b w:val="1"/>
                <w:sz w:val="15"/>
              </w:rPr>
              <w:t>79</w:t>
            </w: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3147</w:t>
            </w:r>
            <w:r>
              <w:rPr>
                <w:rFonts w:ascii="Arial" w:hAnsi="Arial"/>
                <w:b w:val="1"/>
                <w:sz w:val="15"/>
              </w:rPr>
              <w:t>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</w:t>
            </w:r>
            <w:r>
              <w:rPr>
                <w:rFonts w:ascii="Arial" w:hAnsi="Arial"/>
                <w:b w:val="1"/>
                <w:sz w:val="15"/>
              </w:rPr>
              <w:t>601,0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домаћи производ – по становнику, 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3955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3836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4351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4112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Просечан курс, EUR 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93,9517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103,0431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101,9502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113,1277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rPr>
                <w:rFonts w:ascii="Arial" w:hAnsi="Arial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84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НАЦИОНАЛНИ ДОХОДАК – укупно, мил. РСД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2677397,7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2817807,0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3136324,0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3260642,9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НАЦИОНАЛНИ ДОХОДАК – укупно, мил. USD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39681,0</w:t>
            </w:r>
          </w:p>
        </w:tc>
        <w:tc>
          <w:tcPr>
            <w:tcW w:w="1418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36169,0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42765,2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37003,6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425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НАЦИОНАЛНИ ДОХОДАК – укупно, мил. EUR</w:t>
            </w: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28497,6</w:t>
            </w:r>
          </w:p>
        </w:tc>
        <w:tc>
          <w:tcPr>
            <w:tcW w:w="1418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27345,9</w:t>
            </w: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30763,3</w:t>
            </w: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28822,7</w:t>
            </w:r>
          </w:p>
        </w:tc>
      </w:tr>
      <w:tr>
        <w:trPr>
          <w:gridBefore w:val="1"/>
          <w:wBefore w:w="56" w:type="dxa"/>
          <w:wAfter w:w="0" w:type="dxa"/>
        </w:trPr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1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  <w:tc>
          <w:tcPr>
            <w:tcW w:w="142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b w:val="1"/>
                <w:sz w:val="10"/>
              </w:rPr>
            </w:pPr>
          </w:p>
        </w:tc>
      </w:tr>
    </w:tbl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Бруто </w:t>
            </w:r>
            <w:r>
              <w:rPr>
                <w:rFonts w:ascii="Arial" w:hAnsi="Arial"/>
                <w:b w:val="1"/>
                <w:sz w:val="20"/>
              </w:rPr>
              <w:t>додата вредност, по делатностима, и бруто домаћи производ</w:t>
            </w:r>
          </w:p>
        </w:tc>
      </w:tr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- </w:t>
            </w:r>
            <w:r>
              <w:rPr>
                <w:rFonts w:ascii="Arial" w:hAnsi="Arial"/>
                <w:b w:val="1"/>
                <w:sz w:val="18"/>
              </w:rPr>
              <w:t>Т</w:t>
            </w:r>
            <w:r>
              <w:rPr>
                <w:rFonts w:ascii="Arial" w:hAnsi="Arial"/>
                <w:b w:val="1"/>
                <w:sz w:val="18"/>
              </w:rPr>
              <w:t>екућ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 xml:space="preserve"> цен</w:t>
            </w:r>
            <w:r>
              <w:rPr>
                <w:rFonts w:ascii="Arial" w:hAnsi="Arial"/>
                <w:b w:val="1"/>
                <w:sz w:val="18"/>
              </w:rPr>
              <w:t>е -</w:t>
            </w:r>
          </w:p>
        </w:tc>
      </w:tr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rPr>
                <w:rFonts w:ascii="Arial" w:hAnsi="Arial"/>
                <w:sz w:val="19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10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Структура, у %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А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Пољопривреда, шумарство и    рибарство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218005,3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245127,5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292918,7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279125,6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B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Рударство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36387,6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42336,2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52618,6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56996,1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1,7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C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Прерађивачка индустрија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370264,3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389942,3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449840,6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481380,9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14,4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D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електричном енергијом, гасом и паром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86388,3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90119,5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113845,1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109772,0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3,3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E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водом и управљање отпадним водама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28897,9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33736,5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38667,6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40680,2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F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Грађевинарство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111747,6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114513,5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135604,3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138910,4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G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Трговина на велико и мало и поправка моторних возила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258486,9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267969,6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295111,7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316543,8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H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Саобраћај и складиштење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126593,4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132582,1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143766,5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156157,0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I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Услуге смештаја и исхране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27693,2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27507,8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32595,5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33791,1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J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Информисање и комуникације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114393,5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123813,7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138985,5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148957,5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K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Финансијске делатности и делатност осигурања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85076,4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94803,0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96079,3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108616,8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L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Пoсловање некретнинама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297809,0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322186,7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344446,5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334411,7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M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Стручне, научне, иновационе и техничке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97084,0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97926,6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112168,0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121650,7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3,6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N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Административне и помоћне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39403,9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42941,3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46785,8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51663,0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O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Државна управа и обавезно социјално осигурање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90452,4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100137,0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112037,9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127344,1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3,8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P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Образовање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119411,4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121467,4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125125,0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129028,5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3,9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Q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Здравствена и социјална заштита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150012,9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151009,0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179781,8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179604,9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5,4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R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Уметност, забава и рекреација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35035,7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38724,8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29594,0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31359,6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S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37779,0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37213,7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36740,9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40205,8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T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Дeлатност домаћинства као послодавца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2468,4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2685,1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2809,4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3010,9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U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Делатност екстериторијалних организација и тела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...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...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Делатности – 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2333391,1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2476743,2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2779522,7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2889210,6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85,8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85,9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86,3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FISIM</w:t>
            </w:r>
            <w:r>
              <w:rPr>
                <w:rFonts w:ascii="Arial IS" w:hAnsi="Arial IS"/>
                <w:sz w:val="15"/>
                <w:vertAlign w:val="superscript"/>
              </w:rPr>
              <w:t xml:space="preserve">1) </w:t>
            </w:r>
            <w:r>
              <w:rPr>
                <w:rFonts w:ascii="Arial IS" w:hAnsi="Arial IS"/>
                <w:sz w:val="15"/>
              </w:rPr>
              <w:t xml:space="preserve">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68726,9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76702,3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80947,8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78258,6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2,7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2,3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додата вредност (БДВ)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2264664,2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2400040,9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2698575,0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2810951,9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84,1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83,9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hanging="227" w:left="227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Порези на производе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489628,6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528754,4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560692,6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591708,8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17,7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hanging="227" w:left="227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Субвенције на производе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34209,3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46904,3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50647,4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53971,6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3208620,2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3348689,2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 IS" w:hAnsi="Arial IS"/>
          <w:sz w:val="14"/>
          <w:vertAlign w:val="superscript"/>
        </w:rPr>
      </w:pPr>
    </w:p>
    <w:p>
      <w:pPr>
        <w:jc w:val="both"/>
        <w:rPr>
          <w:rFonts w:ascii="Arial IS" w:hAnsi="Arial IS"/>
          <w:sz w:val="14"/>
        </w:rPr>
      </w:pPr>
      <w:r>
        <w:rPr>
          <w:rFonts w:ascii="Arial IS" w:hAnsi="Arial IS"/>
          <w:sz w:val="14"/>
          <w:vertAlign w:val="superscript"/>
        </w:rPr>
        <w:t xml:space="preserve">1) </w:t>
      </w:r>
      <w:r>
        <w:rPr>
          <w:rFonts w:ascii="Arial IS" w:hAnsi="Arial IS"/>
          <w:sz w:val="14"/>
        </w:rPr>
        <w:t>Услуге финансијског посредовања индиректно мерене.</w:t>
      </w: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p>
      <w:pPr>
        <w:rPr>
          <w:rFonts w:ascii="Arial" w:hAnsi="Arial"/>
          <w:sz w:val="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3</w:t>
            </w:r>
            <w:r>
              <w:rPr>
                <w:rFonts w:ascii="Arial" w:hAnsi="Arial"/>
                <w:b w:val="1"/>
                <w:sz w:val="20"/>
              </w:rPr>
              <w:t xml:space="preserve">. Бруто </w:t>
            </w:r>
            <w:r>
              <w:rPr>
                <w:rFonts w:ascii="Arial" w:hAnsi="Arial"/>
                <w:b w:val="1"/>
                <w:sz w:val="20"/>
              </w:rPr>
              <w:t>додата вредност, по делатностима, и бруто домаћи производ</w:t>
            </w:r>
          </w:p>
        </w:tc>
      </w:tr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</w:t>
            </w:r>
            <w:r>
              <w:rPr>
                <w:rFonts w:ascii="Arial" w:hAnsi="Arial"/>
                <w:b w:val="1"/>
                <w:sz w:val="18"/>
              </w:rPr>
              <w:t>талн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 xml:space="preserve"> цен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(</w:t>
            </w:r>
            <w:r>
              <w:rPr>
                <w:rFonts w:ascii="Arial" w:hAnsi="Arial"/>
                <w:b w:val="1"/>
                <w:sz w:val="18"/>
              </w:rPr>
              <w:t>уланчане мере обима, референтна 20</w:t>
            </w:r>
            <w:r>
              <w:rPr>
                <w:rFonts w:ascii="Arial" w:hAnsi="Arial"/>
                <w:b w:val="1"/>
                <w:sz w:val="18"/>
              </w:rPr>
              <w:t>10</w:t>
            </w:r>
            <w:r>
              <w:rPr>
                <w:rFonts w:ascii="Arial" w:hAnsi="Arial"/>
                <w:b w:val="1"/>
                <w:sz w:val="18"/>
              </w:rPr>
              <w:t>. година</w:t>
            </w:r>
            <w:r>
              <w:rPr>
                <w:rFonts w:ascii="Arial" w:hAnsi="Arial"/>
                <w:b w:val="1"/>
                <w:sz w:val="18"/>
              </w:rPr>
              <w:t>)</w:t>
            </w:r>
            <w:r>
              <w:rPr>
                <w:rFonts w:ascii="Arial" w:hAnsi="Arial"/>
                <w:b w:val="1"/>
                <w:sz w:val="18"/>
              </w:rPr>
              <w:t xml:space="preserve"> -</w:t>
            </w:r>
          </w:p>
        </w:tc>
      </w:tr>
      <w:tr>
        <w:trPr>
          <w:wAfter w:w="0" w:type="dxa"/>
        </w:trPr>
        <w:tc>
          <w:tcPr>
            <w:tcW w:w="9808" w:type="dxa"/>
            <w:gridSpan w:val="10"/>
          </w:tcPr>
          <w:p>
            <w:pPr>
              <w:rPr>
                <w:rFonts w:ascii="Arial" w:hAnsi="Arial"/>
                <w:sz w:val="19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10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Стопе реалног раста, у %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7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А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Пољопривреда, шумарство и    рибарство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246156,3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245127,5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247342,9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204461,1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-0,4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-17,3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B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Рударство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41177,5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42336,2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46129,3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45312,1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-5,1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-1,8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C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Прерађивачка индустрија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386947,4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389942,3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391924,6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396390,7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D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електричном енергијом, гасом и паром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94242,6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90119,5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98868,6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91807,7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-4,4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E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Снабдевање водом и управљање отпадним водама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34536,5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33736,5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33934,3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34385,9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-2,3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F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Грађевинарство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123209,5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114513,5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126378,7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125421,6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-19,7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-0,8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G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Трговина на велико и мало и поправка моторних возила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263457,2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267969,6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250526,6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250921,7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1,7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H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Саобраћај и складиштење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122499,9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132582,1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136478,5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136524,0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8,2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I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Услуге смештаја и исхране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27971,9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27507,8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28092,2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27538,4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-1,7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J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Информисање и комуникације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117459,9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123813,7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137022,6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143584,2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5,4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4,8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K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Финансијске делатности и делатност осигурања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88415,8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94803,0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94751,6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98509,1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7,2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L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Пoсловање некретнинама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311228,4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322186,7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324304,8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324487,7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1,3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M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Стручне, научне, иновационе и техничке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94167,0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97926,6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100103,5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103800,5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3,7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N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Административне и помоћне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39944,4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42941,3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43353,2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44200,5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11,3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O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Државна управа и обавезно социјално осигурање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102034,5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100137,0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100971,5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104098,2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2,6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-1,9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P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Образовање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123018,9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121467,4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118064,6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118166,6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-1,3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0,1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Q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Здравствена и социјална заштита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149833,4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151009,0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149599,7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147780,6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0,6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0,8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-1,2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R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Уметност, забава и рекреација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38017,1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38724,8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41076,8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41373,1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1,9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0,7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S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Остале услужне делатности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42299,0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37213,7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41830,1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42452,5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T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Дeлатност домаћинства као послодавца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2594,5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2685,1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2871,6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2871,4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</w:tr>
      <w:tr>
        <w:trPr>
          <w:wAfter w:w="0" w:type="dxa"/>
        </w:trPr>
        <w:tc>
          <w:tcPr>
            <w:tcW w:w="397" w:type="dxa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U</w:t>
            </w:r>
          </w:p>
        </w:tc>
        <w:tc>
          <w:tcPr>
            <w:tcW w:w="2835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Делатност екстериторијалних организација и тела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...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...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Делатности – укупно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2446477,4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2476743,2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2513625,6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2479719,2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-3,6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-1,3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FISIM</w:t>
            </w:r>
            <w:r>
              <w:rPr>
                <w:rFonts w:ascii="Arial IS" w:hAnsi="Arial IS"/>
                <w:sz w:val="15"/>
                <w:vertAlign w:val="superscript"/>
              </w:rPr>
              <w:t xml:space="preserve">1) </w:t>
            </w:r>
            <w:r>
              <w:rPr>
                <w:rFonts w:ascii="Arial IS" w:hAnsi="Arial IS"/>
                <w:sz w:val="15"/>
              </w:rPr>
              <w:t xml:space="preserve">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71051,0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76702,3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76259,9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 IS" w:hAnsi="Arial IS"/>
                <w:sz w:val="15"/>
              </w:rPr>
            </w:pPr>
            <w:r>
              <w:rPr>
                <w:rFonts w:ascii="Arial IS" w:hAnsi="Arial IS"/>
                <w:sz w:val="15"/>
              </w:rPr>
              <w:t>79314,4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додата вредност (БДВ)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2375495,4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2400040,9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2437365,7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2400573,3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-3,9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-1,5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hanging="227" w:left="227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Порези минус субвенције на производе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477672,8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481850,1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489690,5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481884,0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-1,7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-1,6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2853168,2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2927056,3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2882478,0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-3,5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76"/>
              <w:ind w:right="5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-1,5</w:t>
            </w:r>
          </w:p>
        </w:tc>
      </w:tr>
      <w:tr>
        <w:trPr>
          <w:wAfter w:w="0" w:type="dxa"/>
        </w:trPr>
        <w:tc>
          <w:tcPr>
            <w:tcW w:w="3232" w:type="dxa"/>
            <w:gridSpan w:val="2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 IS" w:hAnsi="Arial IS"/>
          <w:sz w:val="14"/>
          <w:vertAlign w:val="superscript"/>
        </w:rPr>
      </w:pPr>
    </w:p>
    <w:p>
      <w:pPr>
        <w:jc w:val="both"/>
        <w:rPr>
          <w:rFonts w:ascii="Arial IS" w:hAnsi="Arial IS"/>
          <w:sz w:val="14"/>
        </w:rPr>
      </w:pPr>
      <w:r>
        <w:rPr>
          <w:rFonts w:ascii="Arial IS" w:hAnsi="Arial IS"/>
          <w:sz w:val="14"/>
          <w:vertAlign w:val="superscript"/>
        </w:rPr>
        <w:t xml:space="preserve">1) </w:t>
      </w:r>
      <w:r>
        <w:rPr>
          <w:rFonts w:ascii="Arial IS" w:hAnsi="Arial IS"/>
          <w:sz w:val="14"/>
        </w:rPr>
        <w:t>Услуге финансијског посредовања индиректно мерене.</w:t>
      </w:r>
    </w:p>
    <w:p>
      <w:pPr>
        <w:rPr>
          <w:rFonts w:ascii="Arial" w:hAnsi="Arial"/>
        </w:rPr>
      </w:pPr>
    </w:p>
    <w:p>
      <w:pPr>
        <w:rPr>
          <w:rFonts w:ascii="Arial" w:hAnsi="Arial"/>
          <w:sz w:val="6"/>
        </w:rPr>
      </w:pPr>
      <w:r>
        <w:rPr>
          <w:rFonts w:ascii="Arial" w:hAnsi="Arial"/>
        </w:rPr>
        <w:br w:type="page"/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4</w:t>
            </w:r>
            <w:r>
              <w:rPr>
                <w:rFonts w:ascii="Arial" w:hAnsi="Arial"/>
                <w:b w:val="1"/>
                <w:sz w:val="20"/>
              </w:rPr>
              <w:t>. Употреба бруто домаћег производа</w:t>
            </w:r>
          </w:p>
        </w:tc>
      </w:tr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Т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>кућ</w:t>
            </w:r>
            <w:r>
              <w:rPr>
                <w:rFonts w:ascii="Arial" w:hAnsi="Arial"/>
                <w:b w:val="1"/>
                <w:sz w:val="18"/>
              </w:rPr>
              <w:t>е</w:t>
            </w:r>
            <w:r>
              <w:rPr>
                <w:rFonts w:ascii="Arial" w:hAnsi="Arial"/>
                <w:b w:val="1"/>
                <w:sz w:val="18"/>
              </w:rPr>
              <w:t xml:space="preserve"> цен</w:t>
            </w:r>
            <w:r>
              <w:rPr>
                <w:rFonts w:ascii="Arial" w:hAnsi="Arial"/>
                <w:b w:val="1"/>
                <w:sz w:val="18"/>
              </w:rPr>
              <w:t>е -</w:t>
            </w:r>
          </w:p>
        </w:tc>
      </w:tr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9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Структура, у %</w:t>
            </w:r>
          </w:p>
        </w:tc>
      </w:tr>
      <w:tr>
        <w:trPr>
          <w:wAfter w:w="0" w:type="dxa"/>
        </w:trPr>
        <w:tc>
          <w:tcPr>
            <w:tcW w:w="323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bookmarkStart w:id="1" w:name="OLE_LINK2"/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2720083,5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3208620,2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3348689,2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финалну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2708338,6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2876882,1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3088794,4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3245063,6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96,3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96,9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личну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2530302,4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2686492,9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2879537,1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3013330,8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домаћинстава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2143204,5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2282827,5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2438230,7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2543502,4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>Сектора НПИД</w:t>
            </w:r>
            <w:r>
              <w:rPr>
                <w:rFonts w:ascii="Arial" w:hAnsi="Arial"/>
                <w:sz w:val="15"/>
                <w:vertAlign w:val="superscript"/>
              </w:rPr>
              <w:t>1)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25237,2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27349,4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31151,7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35537,7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1,1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државе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361860,7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376316,0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410154,7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434290,7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13,3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колективну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178036,2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190389,2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209257,3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231732,8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6,9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инвестиције у основне фондове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510227,4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512287,1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592844,3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717245,3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21,4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Промене у залихама 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-19382,2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-15569,4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53464,4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-11820,7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-0,4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bookmarkEnd w:id="1"/>
            <w:r>
              <w:rPr>
                <w:rFonts w:ascii="Arial" w:hAnsi="Arial"/>
                <w:sz w:val="15"/>
              </w:rPr>
              <w:t>Статистичка разлика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Промене у драгоценостима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Извоз робе и услуга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801049,7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1036903,0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1173436,7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1348250,3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40,3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Увоз робе и услуга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1280155,0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1528617,8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1699926,6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1950053,4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58,2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</w:t>
      </w:r>
      <w:r>
        <w:rPr>
          <w:rFonts w:ascii="Arial" w:hAnsi="Arial"/>
          <w:sz w:val="14"/>
        </w:rPr>
        <w:t>Непрофитне институције које пружају услуге домаћинствима.</w:t>
      </w:r>
    </w:p>
    <w:p>
      <w:pPr>
        <w:jc w:val="both"/>
        <w:rPr>
          <w:rFonts w:ascii="Arial" w:hAnsi="Arial"/>
          <w:sz w:val="14"/>
        </w:rPr>
      </w:pPr>
    </w:p>
    <w:p>
      <w:pPr>
        <w:jc w:val="both"/>
        <w:rPr>
          <w:rFonts w:ascii="Arial" w:hAnsi="Arial"/>
          <w:sz w:val="14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5</w:t>
            </w:r>
            <w:r>
              <w:rPr>
                <w:rFonts w:ascii="Arial" w:hAnsi="Arial"/>
                <w:b w:val="1"/>
                <w:sz w:val="20"/>
              </w:rPr>
              <w:t>. Употреба бруто домаћег производа</w:t>
            </w:r>
          </w:p>
        </w:tc>
      </w:tr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- </w:t>
            </w:r>
            <w:r>
              <w:rPr>
                <w:rFonts w:ascii="Arial" w:hAnsi="Arial"/>
                <w:b w:val="1"/>
                <w:sz w:val="18"/>
              </w:rPr>
              <w:t>С</w:t>
            </w:r>
            <w:r>
              <w:rPr>
                <w:rFonts w:ascii="Arial" w:hAnsi="Arial"/>
                <w:b w:val="1"/>
                <w:sz w:val="18"/>
              </w:rPr>
              <w:t>талне цене (</w:t>
            </w:r>
            <w:r>
              <w:rPr>
                <w:rFonts w:ascii="Arial" w:hAnsi="Arial"/>
                <w:b w:val="1"/>
                <w:sz w:val="18"/>
              </w:rPr>
              <w:t>уланчане мере обима, референтна 20</w:t>
            </w:r>
            <w:r>
              <w:rPr>
                <w:rFonts w:ascii="Arial" w:hAnsi="Arial"/>
                <w:b w:val="1"/>
                <w:sz w:val="18"/>
              </w:rPr>
              <w:t>10</w:t>
            </w:r>
            <w:r>
              <w:rPr>
                <w:rFonts w:ascii="Arial" w:hAnsi="Arial"/>
                <w:b w:val="1"/>
                <w:sz w:val="18"/>
              </w:rPr>
              <w:t>. година</w:t>
            </w:r>
            <w:r>
              <w:rPr>
                <w:rFonts w:ascii="Arial" w:hAnsi="Arial"/>
                <w:b w:val="1"/>
                <w:sz w:val="18"/>
              </w:rPr>
              <w:t>) -</w:t>
            </w:r>
          </w:p>
        </w:tc>
      </w:tr>
      <w:tr>
        <w:trPr>
          <w:wAfter w:w="0" w:type="dxa"/>
        </w:trPr>
        <w:tc>
          <w:tcPr>
            <w:tcW w:w="9808" w:type="dxa"/>
            <w:gridSpan w:val="9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808" w:type="dxa"/>
            <w:gridSpan w:val="9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23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Мил. РСД</w:t>
            </w:r>
          </w:p>
        </w:tc>
        <w:tc>
          <w:tcPr>
            <w:tcW w:w="328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Стопе реалног раста, у %</w:t>
            </w:r>
          </w:p>
        </w:tc>
      </w:tr>
      <w:tr>
        <w:trPr>
          <w:wAfter w:w="0" w:type="dxa"/>
        </w:trPr>
        <w:tc>
          <w:tcPr>
            <w:tcW w:w="323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БРУТО ДОМАЋИ ПРОИЗВОД (БДП)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29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2853168,2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9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2881891,0</w:t>
            </w:r>
          </w:p>
        </w:tc>
        <w:tc>
          <w:tcPr>
            <w:tcW w:w="822" w:type="dxa"/>
            <w:vAlign w:val="bottom"/>
          </w:tcPr>
          <w:p>
            <w:pPr>
              <w:spacing w:before="60" w:after="60"/>
              <w:ind w:right="29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2927056,3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ind w:right="28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2882478,0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1,6</w:t>
            </w:r>
          </w:p>
        </w:tc>
        <w:tc>
          <w:tcPr>
            <w:tcW w:w="822" w:type="dxa"/>
            <w:vAlign w:val="bottom"/>
          </w:tcPr>
          <w:p>
            <w:pPr>
              <w:ind w:right="115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-1,5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28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28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vAlign w:val="bottom"/>
          </w:tcPr>
          <w:p>
            <w:pPr>
              <w:ind w:right="115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финалну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2896153,7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2876882,1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2855987,3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2823913,2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-0,7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-1,1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личну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2703413,5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2686492,9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2664424,5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2629345,8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-2,4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-0,6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-1,3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домаћинстава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2305201,9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2282827,5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2255575,6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2211942,6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-2,7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-1,9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>Сектора НПИД</w:t>
            </w:r>
            <w:r>
              <w:rPr>
                <w:rFonts w:ascii="Arial" w:hAnsi="Arial"/>
                <w:sz w:val="15"/>
                <w:vertAlign w:val="superscript"/>
              </w:rPr>
              <w:t>1)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26866,5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27349,4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28064,6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29711,6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1,8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5,9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2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Сектора државе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371682,2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376316,0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380784,3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387679,8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1,8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Издаци за колективну потрошњу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192754,6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190389,2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191562,8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194512,5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-1,2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0,6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1,5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Бруто инвестиције у основне фондове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542138,9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512287,1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555505,2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635588,1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-5,5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14,4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Промене у залихама 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Статистичка разлика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Промене у драгоценостима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…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Извоз робе и услуга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899691,5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1036903,0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1072001,4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1091199,4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-8,0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15,3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3,4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1,8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Увоз робе и услуга ( - )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1482414,3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1528617,8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1636152,8</w:t>
            </w:r>
          </w:p>
        </w:tc>
        <w:tc>
          <w:tcPr>
            <w:tcW w:w="82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ind w:right="28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1666985,4</w:t>
            </w:r>
          </w:p>
        </w:tc>
        <w:tc>
          <w:tcPr>
            <w:tcW w:w="82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-19,1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2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22" w:type="dxa"/>
            <w:vAlign w:val="bottom"/>
          </w:tcPr>
          <w:p>
            <w:pPr>
              <w:spacing w:before="20" w:after="20"/>
              <w:ind w:right="115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1,9</w:t>
            </w:r>
          </w:p>
        </w:tc>
      </w:tr>
      <w:tr>
        <w:trPr>
          <w:wAfter w:w="0" w:type="dxa"/>
        </w:trPr>
        <w:tc>
          <w:tcPr>
            <w:tcW w:w="3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right="28"/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22" w:type="dxa"/>
            <w:tcBorders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</w:t>
      </w:r>
      <w:r>
        <w:rPr>
          <w:rFonts w:ascii="Arial" w:hAnsi="Arial"/>
          <w:sz w:val="14"/>
        </w:rPr>
        <w:t>Непрофитне институције које пружају услуге домаћинствима,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везана за годишњи обрачун БДП-а налазе се на сајту Републичког завода за статистику: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"http://webrzs.stat.gov.rs/WebSite/Public/PageView.aspx?pKey=64"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http://webrzs,stat,gov,rs</w:t>
      </w:r>
      <w:bookmarkStart w:id="2" w:name="_Hlt351972430"/>
      <w:r>
        <w:rPr>
          <w:rStyle w:val="C2"/>
          <w:rFonts w:ascii="Arial" w:hAnsi="Arial"/>
          <w:sz w:val="20"/>
        </w:rPr>
        <w:t>/</w:t>
      </w:r>
      <w:bookmarkEnd w:id="2"/>
      <w:bookmarkStart w:id="3" w:name="_Hlt351972396"/>
      <w:bookmarkStart w:id="4" w:name="_Hlt351972397"/>
      <w:r>
        <w:rPr>
          <w:rStyle w:val="C2"/>
          <w:rFonts w:ascii="Arial" w:hAnsi="Arial"/>
          <w:sz w:val="20"/>
        </w:rPr>
        <w:t>W</w:t>
      </w:r>
      <w:bookmarkEnd w:id="3"/>
      <w:bookmarkEnd w:id="4"/>
      <w:r>
        <w:rPr>
          <w:rStyle w:val="C2"/>
          <w:rFonts w:ascii="Arial" w:hAnsi="Arial"/>
          <w:sz w:val="20"/>
        </w:rPr>
        <w:t>ebSite/Public/PageView,aspx?pKey=64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Детаљније серије података у текућим и сталним ценама расположиве су на сајту Републичког завода за статистику, у бази података  (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http://webrzs,sta</w:t>
      </w:r>
      <w:bookmarkStart w:id="5" w:name="_Hlt351972446"/>
      <w:r>
        <w:rPr>
          <w:rStyle w:val="C2"/>
          <w:rFonts w:ascii="Arial" w:hAnsi="Arial"/>
          <w:sz w:val="20"/>
        </w:rPr>
        <w:t>t</w:t>
      </w:r>
      <w:bookmarkEnd w:id="5"/>
      <w:r>
        <w:rPr>
          <w:rStyle w:val="C2"/>
          <w:rFonts w:ascii="Arial" w:hAnsi="Arial"/>
          <w:sz w:val="20"/>
        </w:rPr>
        <w:t>,gov,rs/WebSite/public/ReportView,aspx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складу с преласком на новe међународнe стандардe SNA 2008 и ESA 2010, ревидиране серије података биће објављене у последњем кварталу 2014. године.</w:t>
      </w:r>
    </w:p>
    <w:p>
      <w:pPr>
        <w:rPr>
          <w:sz w:val="18"/>
          <w:u w:val="single"/>
        </w:rPr>
      </w:pPr>
      <w:r>
        <w:rPr>
          <w:sz w:val="16"/>
          <w:u w:val="single"/>
        </w:rPr>
        <w:t xml:space="preserve">               </w:t>
      </w:r>
      <w:r>
        <w:rPr>
          <w:sz w:val="18"/>
          <w:u w:val="single"/>
        </w:rPr>
        <w:t xml:space="preserve">                   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"mailto:dragan.popovic@stat.gov.rs"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dragan.popovic@stat.gov.rs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 локал 302</w:t>
      </w:r>
    </w:p>
    <w:p>
      <w:pPr>
        <w:jc w:val="center"/>
        <w:rPr>
          <w:rFonts w:ascii="Arial" w:hAnsi="Arial"/>
          <w:sz w:val="2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2-412-922 (централа) • Tелефакс: 011 2-411-260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tabs>
        <w:tab w:val="clear" w:pos="8640" w:leader="none"/>
        <w:tab w:val="right" w:pos="9900" w:leader="none"/>
      </w:tabs>
    </w:pPr>
    <w:r>
      <w:rPr>
        <w:rFonts w:ascii="Arial" w:hAnsi="Arial"/>
        <w:sz w:val="16"/>
      </w:rPr>
      <w:t>СРБ347 НР30 261213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0"/>
      <w:pBdr>
        <w:top w:val="single" w:sz="4" w:space="0" w:shadow="0" w:frame="0"/>
      </w:pBdr>
      <w:tabs>
        <w:tab w:val="clear" w:pos="8640" w:leader="none"/>
        <w:tab w:val="right" w:pos="9900" w:leader="none"/>
      </w:tabs>
      <w:jc w:val="right"/>
    </w:pPr>
    <w:r>
      <w:rPr>
        <w:rFonts w:ascii="Arial" w:hAnsi="Arial"/>
        <w:sz w:val="16"/>
      </w:rPr>
      <w:t>СРБ347 НР30 261213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jc w:val="center"/>
      <w:outlineLvl w:val="0"/>
    </w:pPr>
    <w:rPr>
      <w:rFonts w:ascii="Arial" w:hAnsi="Arial"/>
      <w:b w:val="1"/>
      <w:color w:val="000000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 Narrow" w:hAnsi="Arial Narrow"/>
      <w:b w:val="1"/>
      <w:sz w:val="22"/>
    </w:rPr>
  </w:style>
  <w:style w:type="paragraph" w:styleId="P4">
    <w:name w:val="Heading 3"/>
    <w:basedOn w:val="P0"/>
    <w:next w:val="P0"/>
    <w:pPr>
      <w:keepNext w:val="1"/>
      <w:ind w:hanging="14" w:left="44"/>
      <w:outlineLvl w:val="2"/>
    </w:pPr>
    <w:rPr>
      <w:rFonts w:ascii="Arial Narrow" w:hAnsi="Arial Narrow"/>
      <w:b w:val="1"/>
      <w:color w:val="000000"/>
      <w:sz w:val="16"/>
    </w:rPr>
  </w:style>
  <w:style w:type="paragraph" w:styleId="P5">
    <w:name w:val="Heading 4"/>
    <w:basedOn w:val="P0"/>
    <w:next w:val="P0"/>
    <w:pPr>
      <w:keepNext w:val="1"/>
      <w:jc w:val="center"/>
      <w:outlineLvl w:val="3"/>
    </w:pPr>
    <w:rPr>
      <w:rFonts w:ascii="Arial" w:hAnsi="Arial"/>
      <w:b w:val="1"/>
    </w:rPr>
  </w:style>
  <w:style w:type="paragraph" w:styleId="P6">
    <w:name w:val="Heading 5"/>
    <w:basedOn w:val="P0"/>
    <w:next w:val="P0"/>
    <w:pPr>
      <w:keepNext w:val="1"/>
      <w:jc w:val="both"/>
      <w:outlineLvl w:val="4"/>
    </w:pPr>
    <w:rPr>
      <w:rFonts w:ascii="Arial" w:hAnsi="Arial"/>
      <w:b w:val="1"/>
      <w:i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  <w:sz w:val="18"/>
    </w:rPr>
  </w:style>
  <w:style w:type="paragraph" w:styleId="P8">
    <w:name w:val="Heading 7"/>
    <w:basedOn w:val="P0"/>
    <w:next w:val="P0"/>
    <w:pPr>
      <w:keepNext w:val="1"/>
      <w:outlineLvl w:val="6"/>
    </w:pPr>
    <w:rPr>
      <w:b w:val="1"/>
      <w:sz w:val="72"/>
    </w:rPr>
  </w:style>
  <w:style w:type="paragraph" w:styleId="P9">
    <w:name w:val="Heading 8"/>
    <w:basedOn w:val="P0"/>
    <w:next w:val="P0"/>
    <w:pPr>
      <w:keepNext w:val="1"/>
      <w:outlineLvl w:val="7"/>
    </w:pPr>
    <w:rPr>
      <w:rFonts w:ascii="Arial" w:hAnsi="Arial"/>
      <w:b w:val="1"/>
      <w:sz w:val="18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 Indent 2"/>
    <w:basedOn w:val="P0"/>
    <w:next w:val="P12"/>
    <w:pPr>
      <w:ind w:firstLine="360" w:left="360"/>
      <w:jc w:val="both"/>
    </w:pPr>
    <w:rPr>
      <w:rFonts w:ascii="Arial" w:hAnsi="Arial"/>
      <w:sz w:val="22"/>
    </w:rPr>
  </w:style>
  <w:style w:type="paragraph" w:styleId="P13">
    <w:name w:val="Car Car"/>
    <w:basedOn w:val="P0"/>
    <w:next w:val="P13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14">
    <w:name w:val="nas3"/>
    <w:basedOn w:val="P0"/>
    <w:next w:val="P0"/>
    <w:pPr>
      <w:keepNext w:val="1"/>
      <w:keepLines w:val="1"/>
      <w:spacing w:before="120" w:after="120"/>
      <w:ind w:left="170"/>
      <w:jc w:val="center"/>
    </w:pPr>
    <w:rPr>
      <w:rFonts w:ascii="CTimesBold" w:hAnsi="CTimesBold"/>
      <w:sz w:val="16"/>
    </w:rPr>
  </w:style>
  <w:style w:type="paragraph" w:styleId="P15">
    <w:name w:val="Footnote Text"/>
    <w:basedOn w:val="P0"/>
    <w:next w:val="P15"/>
    <w:pPr/>
    <w:rPr>
      <w:sz w:val="20"/>
    </w:rPr>
  </w:style>
  <w:style w:type="character" w:styleId="C0" w:default="1">
    <w:name w:val="Default Paragraph Font"/>
    <w:link w:val="P13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character" w:styleId="C5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2013-10-16T10:02:00Z</dcterms:created>
  <cp:lastModifiedBy>Nikola Kapetanovic</cp:lastModifiedBy>
  <cp:lastPrinted>2013-12-20T10:21:00Z</cp:lastPrinted>
  <dcterms:modified xsi:type="dcterms:W3CDTF">2020-01-10T11:17:24Z</dcterms:modified>
  <cp:revision>129</cp:revision>
  <dc:title>Република Србија</dc:title>
</cp:coreProperties>
</file>