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78A6E4" Type="http://schemas.openxmlformats.org/officeDocument/2006/relationships/officeDocument" Target="/word/document.xml" /><Relationship Id="coreR3678A6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sz w:val="2"/>
        </w:rPr>
      </w:pPr>
    </w:p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20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343 - год. LXIII, 16.12.2013.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СРБ343 ГР30 161213</w:t>
            </w:r>
          </w:p>
        </w:tc>
      </w:tr>
    </w:tbl>
    <w:p>
      <w:pPr>
        <w:pStyle w:val="P27"/>
        <w:spacing w:before="600"/>
        <w:ind w:left="360"/>
      </w:pPr>
      <w:r>
        <w:t>Издате грађевинске дозволе у Републици Србији, октобар 2013.</w:t>
      </w:r>
    </w:p>
    <w:p>
      <w:pPr>
        <w:pStyle w:val="P20"/>
        <w:spacing w:before="240"/>
        <w:ind w:left="1080"/>
        <w:jc w:val="left"/>
      </w:pPr>
      <w:r>
        <w:t xml:space="preserve">                                     – Претходни резултати –</w:t>
      </w:r>
    </w:p>
    <w:p>
      <w:pPr>
        <w:jc w:val="center"/>
        <w:rPr>
          <w:sz w:val="20"/>
        </w:rPr>
      </w:pP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Према броју дозвола издатих у октобру 2013, пријављена је изградња 1109 станова с просечном површином 63,6 m². Према издатим дозволама, број станова већи је за 31,7% него у октобру 2012. Од укупног броја станова у новим стамбеним зградама, 15,1% станова биће грађено у зградама с једним станом, с просечном површином 135,3 m², а 81,9% станова биће грађено у зградама с три стана и више станова, и њихова просечна површина биће знатно мања и износиће 47,9 m².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У октобру 2013. издато је 807 грађевинских дозвола, што је за 6,3% више него у октобру претходне године. Индекс предвиђене вредности радова у октобру 2013. већи је за 13,9% у односу на октобар 2012.  </w:t>
      </w:r>
    </w:p>
    <w:p>
      <w:pPr>
        <w:pStyle w:val="P28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октобру 2013. издато је 77,7% дозволa за зграде и 22,3% за остале грађевине. Ако се посматрају само зграде, 69,9% односи се на стамбене и 30,1% на нестамбене зграде, док се код осталих грађевина највећи део односи на цевоводе, комуникационе и електричне водове, 73,9%. 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Предвиђена вредност радова новоградње у октобру 2013. износи 85,9% од укупно предвиђене вредности радова. Највећа грађевинска активност, посматрано према областима, забележена је у Јужнобанатској</w:t>
      </w:r>
      <w:r>
        <w:rPr>
          <w:color w:val="FF0000"/>
        </w:rPr>
        <w:t xml:space="preserve"> </w:t>
      </w:r>
      <w:r>
        <w:t xml:space="preserve">области, 39,4% од предвиђене вредности новоградње. Следе Београдска област, 17,5%, Пчињска област, 8,7%, и Јужнобачка област, 7,5%,  док се учешћа осталих области крећу од 0,2 до 3,9%.</w:t>
      </w:r>
    </w:p>
    <w:p>
      <w:pPr>
        <w:pStyle w:val="P12"/>
      </w:pPr>
      <w:r>
        <w:drawing>
          <wp:inline xmlns:wp="http://schemas.openxmlformats.org/drawingml/2006/wordprocessingDrawing">
            <wp:extent cx="6244590" cy="41541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41541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I–X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IX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X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107,0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51,9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113,9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115,3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63,7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169,0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138,7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73,8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145,0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135,0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79,5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162,3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148,7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168,5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32,0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73,9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143,1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131,7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74,3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124,4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121,5</w:t>
            </w:r>
          </w:p>
        </w:tc>
        <w:tc>
          <w:tcPr>
            <w:tcW w:w="1533" w:type="dxa"/>
            <w:vAlign w:val="bottom"/>
          </w:tcPr>
          <w:p>
            <w:pPr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</w:tr>
    </w:tbl>
    <w:p>
      <w:pPr>
        <w:pStyle w:val="P9"/>
        <w:spacing w:before="480" w:after="120"/>
        <w:rPr>
          <w:sz w:val="20"/>
        </w:rPr>
      </w:pPr>
    </w:p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/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Детаљна методолошка објашњења овог истраживања налазе се у едицији Завода „Методологије и стандарди“. На сајту Републичког завода за статистику могу се наћи: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Месечна истраживања о грађевинским дозволама, свеска број 22</w:t>
      </w: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"http://webrzs.stat.gov.rs/WebSite/userFiles/file/Gradjevinarstvo/SMET/SMET012010L.pdf"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http://webrzs.stat.gov.rs/WebSite/userFiles/file/Gradjevinarstvo/SMET/SMET012010L.pdf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), и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Класификација врста грађевина, свеска број 15 </w:t>
      </w:r>
    </w:p>
    <w:p>
      <w:pPr>
        <w:ind w:firstLine="397"/>
        <w:rPr>
          <w:color w:val="0000FF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MT" w:hAnsi="ArialMT"/>
          <w:color w:val="0000FF"/>
          <w:sz w:val="18"/>
        </w:rPr>
        <w:instrText xml:space="preserve"> HYPERLINK "http://webrzs.stat.gov.rs/WebSite/userFiles/file/Metodologije/Klasifikacije/mm152005.pdf" </w:instrText>
      </w:r>
      <w:r>
        <w:rPr>
          <w:rFonts w:ascii="ArialMT" w:hAnsi="ArialMT"/>
          <w:color w:val="0000FF"/>
          <w:sz w:val="18"/>
        </w:rPr>
        <w:fldChar w:fldCharType="separate"/>
      </w:r>
      <w:r>
        <w:rPr>
          <w:rStyle w:val="C2"/>
          <w:rFonts w:ascii="ArialMT" w:hAnsi="ArialMT"/>
          <w:sz w:val="18"/>
        </w:rPr>
        <w:t>http://webrzs.stat.gov.rs/WebSite/userFiles/file/Metodologije/Klasifikacije/mm152005.pdf</w:t>
      </w:r>
      <w:r>
        <w:rPr>
          <w:rStyle w:val="C2"/>
          <w:rFonts w:ascii="ArialMT" w:hAnsi="ArialMT"/>
          <w:sz w:val="18"/>
        </w:rPr>
        <w:fldChar w:fldCharType="end"/>
      </w:r>
      <w:r>
        <w:rPr>
          <w:rFonts w:ascii="Arial" w:hAnsi="Arial"/>
          <w:sz w:val="18"/>
        </w:rPr>
        <w:t>).</w:t>
      </w: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"mailto:gabrijela.rosic@stat.gov.rs"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gabrijela.rosic@stat.gov.rs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2412-922,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726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rPr>
        <w:wAfter w:w="0" w:type="dxa"/>
      </w:trPr>
      <w:tc>
        <w:tcPr>
          <w:tcW w:w="4933" w:type="dxa"/>
        </w:tcPr>
        <w:p>
          <w:pPr>
            <w:pStyle w:val="P13"/>
            <w:spacing w:before="4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933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4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СРБ343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161213</w:t>
          </w:r>
        </w:p>
      </w:tc>
    </w:tr>
  </w:tbl>
  <w:p>
    <w:pPr>
      <w:pStyle w:val="P13"/>
      <w:jc w:val="right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21B2A6FE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A6BEA9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4F6E8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A2D6D6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06FB6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D4BD7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5C08A9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BD4F78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F566E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3CB5BC5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02558188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5C5350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2505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852F47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004A0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A430C8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3171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4AA4F0A7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20425F8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0A7855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1C720B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BC0E99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EB3076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ACD307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46CAF5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90036D4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6B3C46EA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6AB7FBC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E288FB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BEA06C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B6A665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266BFD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AEFB97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37A76E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DD5280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638CA452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0B56D0B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4CDC44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0D4088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6AED186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C3C26B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48CC19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F4C3EB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645C34C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7C2095C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C26FB7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C69C13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873C99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64B868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43C54F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12340B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C752A2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0EB7CD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3A5302A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2E46C8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F1BD6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B8E32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823E1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C0BE0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06C59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20F902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088EC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0DAC67CA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5F0B6027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14B570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FEEC1A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163980A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6AA8E5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A7DCD6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C77FC5B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EEC3CC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5E63ADFD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9D0E92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555471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46B5F9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D3A601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C74ABE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86D451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EAC9AA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845B4E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1C967697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12C87E5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46C754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9EC3BC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AC6C609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EF53C2A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17B440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09CB6D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0960B5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67E36AA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7D3C1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D492A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F0D063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CD43E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DD89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3397F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E05AD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40DE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04FA6D47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1C31D52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AC3636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5BF33D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DF5FD2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9D38B2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550182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2BF92B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2A441F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4B9635B8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75E7A30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5AA0D7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7D11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34B9F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8D5A47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D7B0A2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8704EF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4712D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9C1A7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ar Car"/>
    <w:basedOn w:val="P0"/>
    <w:next w:val="P24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5">
    <w:name w:val="Body Text First Indent"/>
    <w:basedOn w:val="P12"/>
    <w:next w:val="P25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6">
    <w:name w:val="Comment Subject"/>
    <w:basedOn w:val="P19"/>
    <w:next w:val="P19"/>
    <w:pPr/>
    <w:rPr>
      <w:b w:val="1"/>
    </w:rPr>
  </w:style>
  <w:style w:type="paragraph" w:styleId="P27">
    <w:name w:val="Naslov saopstenja"/>
    <w:basedOn w:val="P22"/>
    <w:next w:val="P23"/>
    <w:pPr>
      <w:spacing w:after="0"/>
    </w:pPr>
    <w:rPr>
      <w:sz w:val="24"/>
    </w:rPr>
  </w:style>
  <w:style w:type="paragraph" w:styleId="P28">
    <w:name w:val="Tekst Metodologija i Napomena"/>
    <w:basedOn w:val="P25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2013-12-16T09:21:00Z</dcterms:created>
  <cp:lastModifiedBy>Nikola Kapetanovic</cp:lastModifiedBy>
  <cp:lastPrinted>2013-12-12T11:57:00Z</cp:lastPrinted>
  <dcterms:modified xsi:type="dcterms:W3CDTF">2020-01-10T11:17:24Z</dcterms:modified>
  <cp:revision>3</cp:revision>
  <dc:title>Република Србија</dc:title>
</cp:coreProperties>
</file>