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9373C0" Type="http://schemas.openxmlformats.org/officeDocument/2006/relationships/officeDocument" Target="/word/document.xml" /><Relationship Id="coreR7E9373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СВ22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337 год. LXIII, 06.12.2013.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337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СВ22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0612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pStyle w:val="P8"/>
        <w:rPr>
          <w:sz w:val="24"/>
        </w:rPr>
      </w:pPr>
      <w:r>
        <w:rPr>
          <w:sz w:val="24"/>
        </w:rPr>
        <w:t>Први пут регистрована друмска моторна и прикључна возила</w:t>
      </w:r>
    </w:p>
    <w:p>
      <w:pPr>
        <w:pStyle w:val="P6"/>
        <w:rPr>
          <w:sz w:val="24"/>
        </w:rPr>
      </w:pPr>
      <w:r>
        <w:rPr>
          <w:sz w:val="24"/>
        </w:rPr>
        <w:t xml:space="preserve"> и саобраћајне незгоде на путевима у Републици Србији</w:t>
      </w:r>
    </w:p>
    <w:p>
      <w:pPr>
        <w:pStyle w:val="P6"/>
        <w:spacing w:before="120" w:after="120"/>
        <w:rPr>
          <w:sz w:val="22"/>
        </w:rPr>
      </w:pPr>
      <w:r>
        <w:rPr>
          <w:sz w:val="22"/>
        </w:rPr>
        <w:t xml:space="preserve">– III квартал 2013 –  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Током III квартала 2013. године може се уочити пораст броја први пут регистрованих друмских моторних возила, осим мопеда, мотоцикала, тегљача и прикључних возила у Републици Србији. Увидом у базу података може се закључити да је 63,5% прикључних возила носивости испод 1000 kg, што по капацитету одговара прикључним возилима намењеним путничким аутомобилима. Наjбројније марке произвођача моторних возила су: Zastava – од домаћих, и Fiat, Opel, Renault и Volkswagen – од страних.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На основу резултата је могуће закључити да су најзаступљенија теретна возила од 1500 до 4999 kg носивости, као и да највећи број ових возила користи евродизел као погонско гориво, што указује на подмлађивање возног парка у складу са најновијим европским прописима.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Код путничких аутомобила новијег датума, процентуално посматрано, подједнако су заступљени и бензин и дизел погонско гориво, а на друмовима доминирају возила величине мотора до 2000 cm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 xml:space="preserve">Укупан број саобраћајних незгода у III кварталу 2013. године мањи је за 6,7% у односу на исти период 2012. године. Раст саобраћајних незгода са повређеним лицима ван насеља износи 2,2%. 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Број лица настрадалих у III кварталу 2013.</w:t>
      </w:r>
      <w:r>
        <w:t xml:space="preserve"> </w:t>
      </w:r>
      <w:r>
        <w:rPr>
          <w:sz w:val="20"/>
        </w:rPr>
        <w:t>године мањи је за 7,9% у односу на исти период 2012. године, док је број погинулих лица у насељу мањи за 16,9%.</w:t>
      </w:r>
    </w:p>
    <w:p>
      <w:pPr>
        <w:pStyle w:val="P13"/>
        <w:spacing w:before="120"/>
        <w:ind w:firstLine="397" w:left="0"/>
        <w:rPr>
          <w:sz w:val="20"/>
        </w:rPr>
      </w:pPr>
    </w:p>
    <w:p>
      <w:pPr>
        <w:ind w:left="360"/>
        <w:rPr>
          <w:rFonts w:ascii="Arial" w:hAnsi="Arial"/>
          <w:b w:val="1"/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685800</wp:posOffset>
                </wp:positionH>
                <wp:positionV relativeFrom="paragraph">
                  <wp:posOffset>173355</wp:posOffset>
                </wp:positionV>
                <wp:extent cx="5391150" cy="53975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9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Република Србија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424.5pt;height:42.5pt;z-index:1;mso-wrap-distance-left:9pt;mso-wrap-distance-top:0pt;mso-wrap-distance-right:9pt;mso-wrap-distance-bottom:0pt;margin-left:54pt;margin-top:13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Старосна структура први пут регистрованих моторних друмских возила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Република Србија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drawing>
          <wp:inline xmlns:wp="http://schemas.openxmlformats.org/drawingml/2006/wordprocessingDrawing">
            <wp:extent cx="6292215" cy="34321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3432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52" w:after="60"/>
        <w:rPr>
          <w:rFonts w:ascii="Arial" w:hAnsi="Arial"/>
          <w:b w:val="1"/>
          <w:sz w:val="20"/>
        </w:rPr>
      </w:pPr>
    </w:p>
    <w:p>
      <w:pPr>
        <w:spacing w:lineRule="auto" w:line="252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>егистрованих друмских моторних и прик</w:t>
      </w:r>
      <w:r>
        <w:rPr>
          <w:rFonts w:ascii="Arial" w:hAnsi="Arial"/>
          <w:b w:val="1"/>
          <w:sz w:val="20"/>
        </w:rPr>
        <w:t>љ</w:t>
      </w:r>
      <w:r>
        <w:rPr>
          <w:rFonts w:ascii="Arial" w:hAnsi="Arial"/>
          <w:b w:val="1"/>
          <w:sz w:val="20"/>
        </w:rPr>
        <w:t>учних возила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865" w:type="dxa"/>
            <w:gridSpan w:val="6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III квартал 2012</w:t>
              <w:br w:type="textWrapping"/>
              <w:t>Република Србија</w:t>
            </w:r>
          </w:p>
        </w:tc>
        <w:tc>
          <w:tcPr>
            <w:tcW w:w="3897" w:type="dxa"/>
            <w:gridSpan w:val="6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III квартал 2013</w:t>
              <w:br w:type="textWrapping"/>
              <w:t>Република Србија</w:t>
            </w:r>
          </w:p>
        </w:tc>
        <w:tc>
          <w:tcPr>
            <w:tcW w:w="739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</w:p>
          <w:p>
            <w:pPr>
              <w:spacing w:lineRule="auto" w:line="252"/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14"/>
              </w:rPr>
              <w:t>III квартал 2013</w:t>
              <w:br w:type="textWrapping"/>
            </w:r>
          </w:p>
          <w:p>
            <w:pPr>
              <w:spacing w:lineRule="auto" w:line="252" w:before="6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4"/>
              </w:rPr>
              <w:t>III квартал 2012</w:t>
            </w: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54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Косово и Метохија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57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Косово и Метохија</w:t>
            </w:r>
          </w:p>
        </w:tc>
        <w:tc>
          <w:tcPr>
            <w:tcW w:w="739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Mопеди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2037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1582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1417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32794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8961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8329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118,3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1633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866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146,8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Teгљачи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3110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83,7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143,3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Мотокултиватор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Пољопривредни трактор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 за пољопривредни трактор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153,1</w:t>
            </w:r>
          </w:p>
        </w:tc>
      </w:tr>
    </w:tbl>
    <w:p>
      <w:pPr>
        <w:spacing w:lineRule="auto" w:line="252"/>
        <w:rPr>
          <w:rFonts w:ascii="Arial" w:hAnsi="Arial"/>
        </w:rPr>
      </w:pPr>
    </w:p>
    <w:p>
      <w:pPr>
        <w:spacing w:lineRule="auto" w:line="252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rPr>
          <w:rFonts w:ascii="Arial" w:hAnsi="Arial"/>
          <w:sz w:val="44"/>
        </w:rPr>
      </w:pPr>
    </w:p>
    <w:p>
      <w:pPr>
        <w:spacing w:lineRule="auto" w:line="252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>егистрованих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теретних возила према носивости</w:t>
      </w:r>
    </w:p>
    <w:tbl>
      <w:tblPr>
        <w:tblStyle w:val="T3"/>
        <w:tblW w:w="0" w:type="dxa"/>
        <w:tblInd w:w="57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Носивост (kg)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2012</w:t>
            </w:r>
          </w:p>
        </w:tc>
        <w:tc>
          <w:tcPr>
            <w:tcW w:w="1871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2013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1633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474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239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 999 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1000‒1499 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1500‒2999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3000‒4999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5000‒6999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7000‒9999  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10000‒14999 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Изнад 15000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</w:tbl>
    <w:p>
      <w:pPr>
        <w:spacing w:lineRule="auto" w:line="252"/>
        <w:rPr>
          <w:rFonts w:ascii="Arial" w:hAnsi="Arial"/>
        </w:rPr>
      </w:pPr>
    </w:p>
    <w:p>
      <w:pPr>
        <w:spacing w:lineRule="auto" w:line="252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52" w:after="60"/>
        <w:ind w:left="357"/>
        <w:rPr>
          <w:rFonts w:ascii="Arial" w:hAnsi="Arial"/>
          <w:b w:val="1"/>
          <w:sz w:val="44"/>
        </w:rPr>
      </w:pPr>
    </w:p>
    <w:p>
      <w:pPr>
        <w:spacing w:lineRule="auto" w:line="252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 xml:space="preserve">егистрованих </w:t>
      </w:r>
      <w:r>
        <w:rPr>
          <w:rFonts w:ascii="Arial" w:hAnsi="Arial"/>
          <w:b w:val="1"/>
          <w:sz w:val="20"/>
        </w:rPr>
        <w:t>теретних возила према врсти погонског горива</w:t>
      </w:r>
    </w:p>
    <w:tbl>
      <w:tblPr>
        <w:tblStyle w:val="T3"/>
        <w:tblW w:w="980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2012</w:t>
            </w:r>
          </w:p>
        </w:tc>
        <w:tc>
          <w:tcPr>
            <w:tcW w:w="3742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2013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1633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474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239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Евродизел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Бензин‒гас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</w:t>
            </w:r>
          </w:p>
        </w:tc>
      </w:tr>
    </w:tbl>
    <w:p>
      <w:pPr>
        <w:spacing w:lineRule="auto" w:line="252"/>
        <w:rPr>
          <w:rFonts w:ascii="Arial" w:hAnsi="Arial"/>
        </w:rPr>
      </w:pPr>
    </w:p>
    <w:p>
      <w:pPr>
        <w:spacing w:lineRule="auto" w:line="252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after="60"/>
        <w:ind w:left="357"/>
        <w:rPr>
          <w:rFonts w:ascii="Arial" w:hAnsi="Arial"/>
          <w:b w:val="1"/>
          <w:sz w:val="20"/>
        </w:rPr>
      </w:pPr>
    </w:p>
    <w:p>
      <w:pPr>
        <w:spacing w:lineRule="auto" w:line="245" w:after="60"/>
        <w:ind w:hanging="284" w:left="284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4.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 xml:space="preserve">егистрованих </w:t>
      </w:r>
      <w:r>
        <w:rPr>
          <w:rFonts w:ascii="Arial" w:hAnsi="Arial"/>
          <w:b w:val="1"/>
          <w:sz w:val="20"/>
        </w:rPr>
        <w:t>путничких аутомобила</w:t>
      </w:r>
      <w:r>
        <w:rPr>
          <w:rFonts w:ascii="Arial" w:hAnsi="Arial"/>
          <w:b w:val="1"/>
          <w:sz w:val="20"/>
        </w:rPr>
        <w:t xml:space="preserve"> према </w:t>
      </w:r>
      <w:r>
        <w:rPr>
          <w:rFonts w:ascii="Arial" w:hAnsi="Arial"/>
          <w:b w:val="1"/>
          <w:sz w:val="20"/>
        </w:rPr>
        <w:t xml:space="preserve">величини мотора и 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најдоминантнијим врстама погонских</w:t>
      </w:r>
      <w:r>
        <w:rPr>
          <w:rFonts w:ascii="Arial" w:hAnsi="Arial"/>
          <w:b w:val="1"/>
          <w:sz w:val="20"/>
        </w:rPr>
        <w:t xml:space="preserve"> горива</w:t>
      </w:r>
    </w:p>
    <w:tbl>
      <w:tblPr>
        <w:tblStyle w:val="T3"/>
        <w:tblW w:w="980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Величина мотора (cm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742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2012</w:t>
            </w:r>
          </w:p>
        </w:tc>
        <w:tc>
          <w:tcPr>
            <w:tcW w:w="3742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2013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регистровани путнички аутомобили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регистровани путнички аутомобили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регистровани путнички аутомобили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 w:before="80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32794</w:t>
            </w: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45" w:before="80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4060</w:t>
            </w:r>
          </w:p>
        </w:tc>
        <w:tc>
          <w:tcPr>
            <w:tcW w:w="1871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36359</w:t>
            </w: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3741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бензин</w:t>
            </w: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бензин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14694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2447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15357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2244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1399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1599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1400‒1999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2000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jc w:val="center"/>
              <w:rPr>
                <w:rFonts w:ascii="Arial" w:hAnsi="Arial"/>
                <w:b w:val="1"/>
                <w:sz w:val="12"/>
              </w:rPr>
            </w:pP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дизел</w:t>
            </w: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дизел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18025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1613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20997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1497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1399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1400‒1999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15497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1224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18098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1119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2000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</w:tr>
    </w:tbl>
    <w:p>
      <w:pPr>
        <w:spacing w:lineRule="auto" w:line="245"/>
        <w:rPr>
          <w:rFonts w:ascii="Arial" w:hAnsi="Arial"/>
          <w:sz w:val="14"/>
        </w:rPr>
      </w:pPr>
    </w:p>
    <w:p>
      <w:pPr>
        <w:spacing w:lineRule="auto" w:line="245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45" w:after="60"/>
        <w:rPr>
          <w:rFonts w:ascii="Arial" w:hAnsi="Arial"/>
          <w:b w:val="1"/>
          <w:sz w:val="10"/>
        </w:rPr>
      </w:pPr>
    </w:p>
    <w:p>
      <w:pPr>
        <w:spacing w:lineRule="auto" w:line="245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Број </w:t>
      </w:r>
      <w:r>
        <w:rPr>
          <w:rFonts w:ascii="Arial" w:hAnsi="Arial"/>
          <w:b w:val="1"/>
          <w:sz w:val="20"/>
        </w:rPr>
        <w:t>саобраћајних незгода на путевима</w:t>
      </w:r>
      <w:r>
        <w:rPr>
          <w:rFonts w:ascii="Arial" w:hAnsi="Arial"/>
          <w:b w:val="1"/>
          <w:sz w:val="20"/>
          <w:vertAlign w:val="superscript"/>
        </w:rPr>
        <w:t>1)</w:t>
      </w:r>
    </w:p>
    <w:tbl>
      <w:tblPr>
        <w:tblStyle w:val="T3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6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2012</w:t>
            </w:r>
          </w:p>
        </w:tc>
        <w:tc>
          <w:tcPr>
            <w:tcW w:w="357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2013</w:t>
            </w:r>
          </w:p>
        </w:tc>
      </w:tr>
      <w:tr>
        <w:trPr>
          <w:wAfter w:w="0" w:type="dxa"/>
        </w:trPr>
        <w:tc>
          <w:tcPr>
            <w:tcW w:w="266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tcBorders>
              <w:left w:val="single" w:sz="4" w:space="0" w:shadow="0" w:frame="0"/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повређеним лицима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к у п н 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4173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3953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3895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3708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 насељу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 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3661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3499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3381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Улице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1857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1667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Раскрснице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Државни путеви I и II реда који пролазе кроз насеље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Ван насеља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Раскршће путева </w:t>
            </w:r>
            <w:r>
              <w:rPr>
                <w:rFonts w:ascii="Arial Unicode MS" w:hAnsi="Arial Unicode MS"/>
                <w:sz w:val="16"/>
              </w:rPr>
              <w:t xml:space="preserve">‒ </w:t>
            </w: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Отворени пут </w:t>
            </w:r>
            <w:r>
              <w:rPr>
                <w:rFonts w:ascii="Arial Unicode MS" w:hAnsi="Arial Unicode MS"/>
                <w:sz w:val="16"/>
              </w:rPr>
              <w:t xml:space="preserve">‒ </w:t>
            </w: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459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</w:tr>
    </w:tbl>
    <w:p>
      <w:pPr>
        <w:spacing w:lineRule="auto" w:line="245"/>
        <w:rPr>
          <w:rFonts w:ascii="Arial" w:hAnsi="Arial"/>
          <w:sz w:val="14"/>
        </w:rPr>
      </w:pPr>
    </w:p>
    <w:p>
      <w:pPr>
        <w:spacing w:lineRule="auto" w:line="245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45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Без података за АП Косово и Метохија.</w:t>
      </w:r>
    </w:p>
    <w:p>
      <w:pPr>
        <w:spacing w:lineRule="auto" w:line="245" w:after="60"/>
        <w:ind w:left="357"/>
        <w:rPr>
          <w:rFonts w:ascii="Arial" w:hAnsi="Arial"/>
          <w:b w:val="1"/>
          <w:sz w:val="10"/>
        </w:rPr>
      </w:pPr>
    </w:p>
    <w:p>
      <w:pPr>
        <w:spacing w:lineRule="auto" w:line="245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6.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Број настрадалих лица</w:t>
      </w:r>
      <w:r>
        <w:rPr>
          <w:rFonts w:ascii="Arial" w:hAnsi="Arial"/>
          <w:b w:val="1"/>
          <w:sz w:val="20"/>
          <w:vertAlign w:val="superscript"/>
        </w:rPr>
        <w:t>1)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214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2012</w:t>
            </w:r>
          </w:p>
        </w:tc>
        <w:tc>
          <w:tcPr>
            <w:tcW w:w="4076" w:type="dxa"/>
            <w:gridSpan w:val="5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2013</w:t>
            </w:r>
          </w:p>
        </w:tc>
      </w:tr>
      <w:tr>
        <w:trPr>
          <w:wAfter w:w="0" w:type="dxa"/>
          <w:trHeight w:hRule="atLeast" w:val="471"/>
        </w:trPr>
        <w:tc>
          <w:tcPr>
            <w:tcW w:w="2146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свега настра-дало 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погинуло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повређено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свега настра-дало 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повређено</w:t>
            </w:r>
          </w:p>
        </w:tc>
      </w:tr>
      <w:tr>
        <w:trPr>
          <w:wAfter w:w="0" w:type="dxa"/>
          <w:trHeight w:hRule="atLeast" w:val="285"/>
        </w:trPr>
        <w:tc>
          <w:tcPr>
            <w:tcW w:w="214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теже</w:t>
            </w: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лакше</w:t>
            </w:r>
          </w:p>
        </w:tc>
        <w:tc>
          <w:tcPr>
            <w:tcW w:w="795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теже</w:t>
            </w:r>
          </w:p>
        </w:tc>
        <w:tc>
          <w:tcPr>
            <w:tcW w:w="850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лакше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bookmarkStart w:id="0" w:name="OLE_LINK1"/>
            <w:r>
              <w:rPr>
                <w:rFonts w:ascii="Arial" w:hAnsi="Arial"/>
                <w:b w:val="1"/>
                <w:sz w:val="16"/>
              </w:rPr>
              <w:t>У к у п н 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5796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4654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212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5356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1052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4304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bookmarkEnd w:id="0"/>
            <w:r>
              <w:rPr>
                <w:rFonts w:ascii="Arial" w:hAnsi="Arial"/>
                <w:b w:val="1"/>
                <w:sz w:val="16"/>
              </w:rPr>
              <w:t xml:space="preserve">У насељу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5142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4959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950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4009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4672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152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4520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858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3662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Улице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2124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1699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Раскрснице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Државни путеви I и II реда који пролазе кроз насеље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1350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1069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1029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Ван насеља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645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194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642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Раскршће путева </w:t>
            </w:r>
            <w:r>
              <w:rPr>
                <w:rFonts w:ascii="Arial Unicode MS" w:hAnsi="Arial Unicode MS"/>
                <w:sz w:val="16"/>
              </w:rPr>
              <w:t>‒</w:t>
            </w:r>
            <w:r>
              <w:rPr>
                <w:rFonts w:ascii="Arial" w:hAnsi="Arial"/>
                <w:sz w:val="16"/>
              </w:rPr>
              <w:t xml:space="preserve"> 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Отворени пут </w:t>
            </w:r>
            <w:r>
              <w:rPr>
                <w:rFonts w:ascii="Arial Unicode MS" w:hAnsi="Arial Unicode MS"/>
                <w:sz w:val="16"/>
              </w:rPr>
              <w:t xml:space="preserve">‒ </w:t>
            </w: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630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194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631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</w:tr>
    </w:tbl>
    <w:p>
      <w:pPr>
        <w:spacing w:lineRule="auto" w:line="245"/>
        <w:rPr>
          <w:rFonts w:ascii="Arial" w:hAnsi="Arial"/>
          <w:sz w:val="14"/>
        </w:rPr>
      </w:pPr>
    </w:p>
    <w:p>
      <w:pPr>
        <w:spacing w:lineRule="auto" w:line="245" w:before="40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45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Без података за АП Косово и Метохија.</w:t>
      </w: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60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color w:val="0000FF"/>
          <w:sz w:val="18"/>
        </w:rPr>
        <w:t>daliborka.vujin@stat.gov.rs</w:t>
      </w:r>
      <w:r>
        <w:rPr>
          <w:rFonts w:ascii="Arial" w:hAnsi="Arial"/>
          <w:sz w:val="18"/>
        </w:rPr>
        <w:t xml:space="preserve">  тел: </w:t>
      </w:r>
      <w:r>
        <w:rPr>
          <w:rFonts w:ascii="Arial" w:hAnsi="Arial"/>
          <w:color w:val="000000"/>
          <w:sz w:val="18"/>
        </w:rPr>
        <w:t>011 329 02 69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квартално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nextPage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СРБ337 СВ22 061213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СРБ337 СВ22 061213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2DD46A3E"/>
    <w:multiLevelType w:val="multilevel"/>
    <w:lvl w:ilvl="0">
      <w:start w:val="1"/>
      <w:numFmt w:val="decimal"/>
      <w:suff w:val="tab"/>
      <w:lvlText w:val="%1."/>
      <w:lvlJc w:val="left"/>
      <w:pPr>
        <w:ind w:hanging="360" w:left="717"/>
        <w:tabs>
          <w:tab w:val="left" w:pos="71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37"/>
        <w:tabs>
          <w:tab w:val="left" w:pos="143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57"/>
        <w:tabs>
          <w:tab w:val="left" w:pos="215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77"/>
        <w:tabs>
          <w:tab w:val="left" w:pos="287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97"/>
        <w:tabs>
          <w:tab w:val="left" w:pos="359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17"/>
        <w:tabs>
          <w:tab w:val="left" w:pos="431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37"/>
        <w:tabs>
          <w:tab w:val="left" w:pos="503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57"/>
        <w:tabs>
          <w:tab w:val="left" w:pos="575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77"/>
        <w:tabs>
          <w:tab w:val="left" w:pos="6477" w:leader="none"/>
        </w:tabs>
      </w:pPr>
      <w:rPr/>
    </w:lvl>
  </w:abstractNum>
  <w:abstractNum w:abstractNumId="3">
    <w:nsid w:val="3BAF72E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6B666B95"/>
    <w:multiLevelType w:val="hybridMultilevel"/>
    <w:lvl w:ilvl="0" w:tplc="5187C98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8C55DF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DE9EC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75C2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35BA1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6031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B7DBF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D9CC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A17E9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2013-12-04T12:31:00Z</dcterms:created>
  <cp:lastModifiedBy>Nikola Kapetanovic</cp:lastModifiedBy>
  <cp:lastPrinted>2013-11-27T10:24:00Z</cp:lastPrinted>
  <dcterms:modified xsi:type="dcterms:W3CDTF">2020-01-10T11:17:23Z</dcterms:modified>
  <cp:revision>3</cp:revision>
  <dc:title>Промет робе у трговини на мало у Републици Србији, јануар 2003</dc:title>
</cp:coreProperties>
</file>