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31DCF8" Type="http://schemas.openxmlformats.org/officeDocument/2006/relationships/officeDocument" Target="/word/document.xml" /><Relationship Id="coreR7531DC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287 - год. LXIII, 15.10.2013.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СРБ287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ГР30 151013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август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августу 2013, пријављена је изградња 645 станова с просечном површином 79,9 m². Према издатим дозволама, број станова мањи је за 31,1% него у августу 2012. Од укупног броја станова у новим стамбеним зградама, 28,8% станова биће грађено у зградама с једним станом, с просечном површином 130,0 m², а 64,8% станова биће грађено у зградама с три стана и више станова, и њихова просечна површина биће знатно мања и износиће 54,1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августу 2013. издато је 700 грађевинских дозвола, што је за 4,5% више него у августу претходне године. Индекс предвиђене вредности радова у августу 2013. већи је за 76,1% у односу на август 2012. 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августу 2013. издато је 75,0% дозволa за зграде и 25,0% за остале грађевине. Ако се посматрају само зграде, 70,3% односи се на стамбене и 29,7% на нестамбене зграде, док се код осталих грађевина највећи део односи на цевоводе, комуникационе и електричне водове, 60,6%.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августу 2013. износи 89,6% од укупно предвиђене вредности радова. Највећа грађевинска активност, посматрано према областима, забележена је у Пиротској</w:t>
      </w:r>
      <w:r>
        <w:rPr>
          <w:color w:val="FF0000"/>
        </w:rPr>
        <w:t xml:space="preserve"> </w:t>
      </w:r>
      <w:r>
        <w:t xml:space="preserve">области, 58,2% од предвиђене вредности новоградње. Следе Нишавска област, 7,3%, Севернобачка област, 7,0%, и Београдска област, 6,6%,  док се учешћа осталих области крећу  до 3,1%.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I–VIII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118,0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176,1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91,1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74,7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113,4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105,3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164,1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373,3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66,2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68,9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1533" w:type="dxa"/>
            <w:vAlign w:val="bottom"/>
          </w:tcPr>
          <w:p>
            <w:pPr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СРБ287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151013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055834CB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2EA03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252D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A43AB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45F4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C853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C93F5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FF4A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F1F2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331759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3BE0E43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23E612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424E6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5A9D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BB500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8F29A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573A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73938248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738DF70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FC45B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2E7B55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BB399F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4C9424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AFC9C3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3570C0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5F8319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0CD4F98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647F062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79F09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EC4291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14ED13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07EEE0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4AF95A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FC5A6F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54AC3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61D78C43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730881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DF37FE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62A341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DF8309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7D50BE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80D371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8A722D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695117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0FDC4C3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5204F0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EB1E99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9D3EE3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276DAC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9F0362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AA26FA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E70DB9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FAD33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1E45FEC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74BA4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A49AD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20C0F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28917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4D2F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4DC2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F35AB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4A392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3A60418B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32DC98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1C888E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33F213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F367E3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87CA87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F05F24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4E3C3C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15EA28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0A63BC0A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D694E2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595C77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7EF501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ADA7F4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30C771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E3430C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B2050F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E36BD0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374648FA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63010B5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2082C6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DAED47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421BA7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2DDF5A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E841AD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66996E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F50EDA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63B0115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3B6CC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07F6A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A6504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DC72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004D6E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8AD2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ACF5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5795A5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34CC899A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6C9D2B0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5E9D1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635422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ACDFCE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D9316F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891939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03EB49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1078D6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2C650CC0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7656AEA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59A3B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9823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EC90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08417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1673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077A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F24F5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420C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2013-10-15T10:10:00Z</dcterms:created>
  <cp:lastModifiedBy>Nikola Kapetanovic</cp:lastModifiedBy>
  <cp:lastPrinted>2013-10-15T10:11:00Z</cp:lastPrinted>
  <dcterms:modified xsi:type="dcterms:W3CDTF">2020-01-10T11:17:22Z</dcterms:modified>
  <cp:revision>5</cp:revision>
  <dc:title>Република Србија</dc:title>
</cp:coreProperties>
</file>