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9A5336" Type="http://schemas.openxmlformats.org/officeDocument/2006/relationships/officeDocument" Target="/word/document.xml" /><Relationship Id="coreR399A533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0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538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0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ПС10</w:t>
            </w:r>
          </w:p>
        </w:tc>
      </w:tr>
      <w:tr>
        <w:trPr>
          <w:wAfter w:w="0" w:type="dxa"/>
          <w:trHeight w:hRule="exact" w:val="28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286 – год. LXIII, 15.10.2013.</w:t>
            </w:r>
          </w:p>
        </w:tc>
        <w:tc>
          <w:tcPr>
            <w:tcW w:w="3005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0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286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ПС10 1</w:t>
            </w:r>
            <w:r>
              <w:rPr>
                <w:b w:val="0"/>
                <w:sz w:val="20"/>
              </w:rPr>
              <w:t>510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</w:tbl>
    <w:p>
      <w:pPr>
        <w:pStyle w:val="P32"/>
        <w:spacing w:before="840"/>
      </w:pPr>
      <w:r>
        <w:t>Квартално пословање привредних друштава у Републици Србији</w:t>
      </w:r>
    </w:p>
    <w:p>
      <w:pPr>
        <w:pStyle w:val="P32"/>
        <w:spacing w:before="120" w:after="120"/>
      </w:pPr>
      <w:r>
        <w:t>II квартал 2013. године</w:t>
      </w:r>
    </w:p>
    <w:p>
      <w:pPr>
        <w:pStyle w:val="P23"/>
        <w:spacing w:after="240"/>
      </w:pPr>
      <w:r>
        <w:t>– Претходни подаци –</w:t>
      </w:r>
    </w:p>
    <w:p>
      <w:pPr>
        <w:pStyle w:val="P33"/>
        <w:numPr>
          <w:ilvl w:val="0"/>
          <w:numId w:val="0"/>
        </w:numPr>
        <w:spacing w:after="120"/>
        <w:ind w:firstLine="397"/>
      </w:pPr>
      <w:r>
        <w:t>Пословни приходи у нефинансијској пословној економији у Републици Србији у другом кварталу 2012. године били су већи за 3,8% у односу на исти период претходне године. У поређењу са првим кварталом 2013. године, порасли су за 7,8%.</w:t>
      </w:r>
    </w:p>
    <w:p>
      <w:pPr>
        <w:pStyle w:val="P33"/>
        <w:numPr>
          <w:ilvl w:val="0"/>
          <w:numId w:val="0"/>
        </w:numPr>
        <w:spacing w:after="120"/>
        <w:ind w:firstLine="397"/>
      </w:pPr>
      <w:r>
        <w:t>Пословни расходи у нефинансијској пословној економији у другом кварталу 2013. године били су већи за 5,3% у односу на исти период претходне године. Уколико се упореде с првим кварталом 2013. године, њихов раст износи 7,8%.</w:t>
      </w:r>
    </w:p>
    <w:p>
      <w:pPr>
        <w:jc w:val="center"/>
        <w:rPr>
          <w:b w:val="0"/>
          <w:sz w:val="16"/>
        </w:rPr>
      </w:pPr>
    </w:p>
    <w:p>
      <w:pPr>
        <w:jc w:val="center"/>
        <w:rPr>
          <w:rFonts w:ascii="Arial" w:hAnsi="Arial"/>
          <w:b w:val="0"/>
          <w:sz w:val="10"/>
        </w:rPr>
      </w:pPr>
    </w:p>
    <w:p>
      <w:pPr>
        <w:jc w:val="center"/>
        <w:rPr>
          <w:rFonts w:ascii="Arial" w:hAnsi="Arial"/>
          <w:b w:val="0"/>
          <w:sz w:val="10"/>
        </w:rPr>
      </w:pPr>
    </w:p>
    <w:p>
      <w:pPr>
        <w:pStyle w:val="P26"/>
        <w:spacing w:before="240"/>
      </w:pPr>
      <w:r>
        <w:t>Индекси пословних прихода и пословних расхода у нефинансијској пословној економији</w:t>
      </w:r>
    </w:p>
    <w:p>
      <w:pPr>
        <w:jc w:val="center"/>
        <w:rPr>
          <w:rFonts w:ascii="Arial" w:hAnsi="Arial"/>
          <w:sz w:val="10"/>
        </w:rPr>
      </w:pPr>
    </w:p>
    <w:p>
      <w:pPr>
        <w:spacing w:after="40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>Република Србија</w:t>
      </w:r>
      <w:r>
        <w:rPr>
          <w:rFonts w:ascii="Arial" w:hAnsi="Arial"/>
          <w:b w:val="1"/>
          <w:sz w:val="18"/>
          <w:vertAlign w:val="superscript"/>
        </w:rPr>
        <w:t>1)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gridAfter w:val="1"/>
          <w:wAfter w:w="14" w:type="dxa"/>
          <w:trHeight w:hRule="exact" w:val="567"/>
        </w:trPr>
        <w:tc>
          <w:tcPr>
            <w:tcW w:w="392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II </w:t>
            </w:r>
            <w:r>
              <w:rPr>
                <w:rFonts w:ascii="Arial" w:hAnsi="Arial"/>
                <w:sz w:val="16"/>
              </w:rPr>
              <w:t xml:space="preserve">квартал 2013 / </w:t>
            </w:r>
            <w:r>
              <w:rPr>
                <w:rFonts w:ascii="Arial" w:hAnsi="Arial"/>
                <w:sz w:val="18"/>
              </w:rPr>
              <w:t xml:space="preserve">II </w:t>
            </w:r>
            <w:r>
              <w:rPr>
                <w:rFonts w:ascii="Arial" w:hAnsi="Arial"/>
                <w:sz w:val="16"/>
              </w:rPr>
              <w:t>квартал 2012</w:t>
            </w:r>
          </w:p>
        </w:tc>
        <w:tc>
          <w:tcPr>
            <w:tcW w:w="3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II </w:t>
            </w:r>
            <w:r>
              <w:rPr>
                <w:rFonts w:ascii="Arial" w:hAnsi="Arial"/>
                <w:sz w:val="16"/>
              </w:rPr>
              <w:t xml:space="preserve">квартал 2013 /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/>
                <w:sz w:val="16"/>
              </w:rPr>
              <w:t>квартал 2013</w:t>
            </w:r>
          </w:p>
        </w:tc>
      </w:tr>
      <w:tr>
        <w:trPr>
          <w:wAfter w:w="0" w:type="dxa"/>
          <w:trHeight w:hRule="exact" w:val="454"/>
        </w:trPr>
        <w:tc>
          <w:tcPr>
            <w:tcW w:w="10067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Пословни приходи</w:t>
            </w:r>
          </w:p>
        </w:tc>
      </w:tr>
      <w:tr>
        <w:trPr>
          <w:wAfter w:w="0" w:type="dxa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119,7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 и грађевинарство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114,6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86,4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Остале услуге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117,9</w:t>
            </w:r>
          </w:p>
        </w:tc>
      </w:tr>
      <w:tr>
        <w:trPr>
          <w:wAfter w:w="0" w:type="dxa"/>
          <w:trHeight w:hRule="exact" w:val="454"/>
        </w:trPr>
        <w:tc>
          <w:tcPr>
            <w:tcW w:w="10067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Пословни расходи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115,4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140,9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 и грађевинарство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111,7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   Трговина </w:t>
            </w:r>
            <w:r>
              <w:rPr>
                <w:rFonts w:ascii="Arial" w:hAnsi="Arial"/>
                <w:sz w:val="16"/>
                <w:highlight w:val="yellow"/>
              </w:rPr>
              <w:t xml:space="preserve">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110,6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Остале услуге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119,5</w:t>
            </w:r>
          </w:p>
        </w:tc>
      </w:tr>
    </w:tbl>
    <w:p>
      <w:pPr>
        <w:rPr>
          <w:rFonts w:ascii="Arial" w:hAnsi="Arial"/>
          <w:sz w:val="18"/>
          <w:vertAlign w:val="superscript"/>
        </w:rPr>
      </w:pPr>
    </w:p>
    <w:p>
      <w:pPr>
        <w:rPr>
          <w:rFonts w:ascii="Arial" w:hAnsi="Arial"/>
          <w:sz w:val="18"/>
          <w:vertAlign w:val="superscript"/>
        </w:rPr>
      </w:pPr>
    </w:p>
    <w:p>
      <w:pPr>
        <w:ind w:hanging="142" w:left="142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1)  </w:t>
      </w:r>
      <w:r>
        <w:rPr>
          <w:rFonts w:ascii="Arial" w:hAnsi="Arial"/>
          <w:sz w:val="14"/>
        </w:rPr>
        <w:t>Без података за АП Косово и Метохија.</w:t>
      </w:r>
    </w:p>
    <w:p>
      <w:pPr>
        <w:ind w:hanging="142" w:left="142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2)  </w:t>
      </w:r>
      <w:r>
        <w:rPr>
          <w:rFonts w:ascii="Arial" w:hAnsi="Arial"/>
          <w:sz w:val="14"/>
        </w:rPr>
        <w:t>Обухвата: рударство; прерађивачку индустрију; снабдевање електричном енергијом, гасом и паром; снабдевање водом и управљање отпадним водама и грађевинарство.</w:t>
      </w:r>
    </w:p>
    <w:p>
      <w:pPr>
        <w:ind w:hanging="142" w:left="142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3)  </w:t>
      </w:r>
      <w:r>
        <w:rPr>
          <w:rFonts w:ascii="Arial" w:hAnsi="Arial"/>
          <w:sz w:val="14"/>
        </w:rPr>
        <w:t>Обухвата: пословање некретнинама; стручне, научне, иновационе и техничке делатности; административне и помоћне услужне делатности; образовање; здравствену и социјалну заштиту; уметност, забаву и рекреацију и остале услужне делатности.</w:t>
      </w:r>
    </w:p>
    <w:p>
      <w:pPr>
        <w:spacing w:after="120"/>
        <w:jc w:val="center"/>
        <w:rPr>
          <w:rFonts w:ascii="Arial" w:hAnsi="Arial"/>
          <w:b w:val="0"/>
          <w:sz w:val="22"/>
        </w:rPr>
      </w:pPr>
    </w:p>
    <w:p>
      <w:pPr>
        <w:spacing w:after="120"/>
        <w:jc w:val="center"/>
        <w:rPr>
          <w:rFonts w:ascii="Arial" w:hAnsi="Arial"/>
          <w:b w:val="0"/>
          <w:sz w:val="22"/>
        </w:rPr>
      </w:pPr>
    </w:p>
    <w:p>
      <w:pPr>
        <w:spacing w:after="120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Методолошке напомене</w:t>
      </w:r>
    </w:p>
    <w:p>
      <w:pPr>
        <w:jc w:val="center"/>
        <w:rPr>
          <w:rFonts w:ascii="Arial" w:hAnsi="Arial"/>
          <w:b w:val="0"/>
          <w:sz w:val="20"/>
        </w:rPr>
      </w:pP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Ово саопштење представља резултат редовног статистичког истраживања „Квартални структурни извештај о пословању привредних друштава“ – СБС-03 (резултати за 2007, 2008, 2009, 2010. и 2011. годину објављени су у едицији </w:t>
      </w:r>
      <w:r>
        <w:rPr>
          <w:rFonts w:ascii="Arial" w:hAnsi="Arial"/>
          <w:i w:val="1"/>
          <w:sz w:val="20"/>
        </w:rPr>
        <w:t>Радни документи</w:t>
      </w:r>
      <w:r>
        <w:rPr>
          <w:rFonts w:ascii="Arial" w:hAnsi="Arial"/>
          <w:sz w:val="20"/>
        </w:rPr>
        <w:t xml:space="preserve">, у свескама бр. 64, 68, 71, 76 и 79). </w:t>
      </w:r>
    </w:p>
    <w:p>
      <w:pPr>
        <w:spacing w:lineRule="auto" w:line="252"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Статистичког пословног регистра (СПР). Изабран је стратификован прост случајни узорак обима 2861, од којих је у реализованом узорку 2475 јединица (86%). За индекс други квартал 2013. у односу на други квартал 2012. оцена стандардне грешке</w:t>
      </w:r>
      <w:r>
        <w:rPr>
          <w:rFonts w:ascii="Arial" w:hAnsi="Arial"/>
          <w:sz w:val="20"/>
          <w:vertAlign w:val="superscript"/>
        </w:rPr>
        <w:t xml:space="preserve">3) </w:t>
      </w:r>
      <w:r>
        <w:rPr>
          <w:rFonts w:ascii="Arial" w:hAnsi="Arial"/>
          <w:sz w:val="20"/>
        </w:rPr>
        <w:t xml:space="preserve">пословних прихода и пословних расхода је иста и износи 6,5. За индекс други квартал 2013. у односу на први квартал 2013. оцена стандардне грешке пословних прихода је 2,7, а пословних расхода 2,8. 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Предузетници нису обухваћени. 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Пословни субјекти су разврстани </w:t>
      </w:r>
      <w:r>
        <w:rPr>
          <w:rFonts w:ascii="Arial" w:hAnsi="Arial"/>
          <w:i w:val="1"/>
          <w:sz w:val="20"/>
        </w:rPr>
        <w:t>према претежној делатности</w:t>
      </w:r>
      <w:r>
        <w:rPr>
          <w:rFonts w:ascii="Arial" w:hAnsi="Arial"/>
          <w:sz w:val="20"/>
        </w:rPr>
        <w:t xml:space="preserve"> (за извештајну јединицу у целини).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Основни извори података за попуњавање извештаја јесу </w:t>
      </w:r>
      <w:r>
        <w:rPr>
          <w:rFonts w:ascii="Arial" w:hAnsi="Arial"/>
          <w:i w:val="1"/>
          <w:sz w:val="20"/>
        </w:rPr>
        <w:t>књиговодствена евиденција</w:t>
      </w:r>
      <w:r>
        <w:rPr>
          <w:rFonts w:ascii="Arial" w:hAnsi="Arial"/>
          <w:sz w:val="20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су дати у текућим ценама. 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>
      <w:pPr>
        <w:spacing w:lineRule="auto" w:line="252"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"http://webrzs.stat.gov.rs/WebSite/Public/PageView.aspx?pKey=171"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http://webrzs.stat.gov.rs/WebSite/Public/PageView.aspx?pKey=171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spacing w:lineRule="auto" w:line="252" w:before="120" w:after="120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кварталних индекса (ланчаних и базних) у текућим ценама доступне су на сајту Републичког завода за статистику, у бази података: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http://webrzs.stat.gov.rs/WebSite/public/ReportView.aspx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spacing w:before="120" w:after="120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2"/>
        </w:rPr>
      </w:pPr>
    </w:p>
    <w:p>
      <w:pPr>
        <w:pStyle w:val="P27"/>
        <w:rPr>
          <w:rStyle w:val="C6"/>
          <w:vertAlign w:val="baseline"/>
        </w:rPr>
      </w:pPr>
      <w:r>
        <w:t>3)</w:t>
      </w:r>
      <w:r>
        <w:rPr>
          <w:rStyle w:val="C6"/>
          <w:vertAlign w:val="baseline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>
      <w:pPr>
        <w:jc w:val="center"/>
        <w:rPr>
          <w:rFonts w:ascii="Arial" w:hAnsi="Arial"/>
          <w:sz w:val="20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"mailto:gordana.zamaklar@stat.gov.rs"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gordana.zamaklar@stat.gov.rs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24-12-922, локал 352</w:t>
      </w:r>
    </w:p>
    <w:p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p>
      <w:pPr>
        <w:spacing w:after="120"/>
        <w:jc w:val="center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ind w:firstLine="360" w:right="360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101 СУ10 150409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page" w:x="884" w:y="-3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СРБ286 ПС10 151013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9322F7"/>
    <w:multiLevelType w:val="hybridMultilevel"/>
    <w:lvl w:ilvl="0" w:tplc="16A000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1B646407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4F077C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7CDE8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E4DF6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EEF59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03AA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4E79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9EE321F"/>
    <w:multiLevelType w:val="hybridMultilevel"/>
    <w:lvl w:ilvl="0" w:tplc="0562A54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F4359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64CAE7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E75ABE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E96F5B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C5D6CF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CEC699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303834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DB12F0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CC340A6"/>
    <w:multiLevelType w:val="hybridMultilevel"/>
    <w:lvl w:ilvl="0" w:tplc="7A1E676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BDD2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532E1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07B8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B9ED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2215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ACDF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C18E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55B5C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56C16706"/>
    <w:multiLevelType w:val="hybridMultilevel"/>
    <w:lvl w:ilvl="0" w:tplc="5A97BAA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870282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C082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9E4A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0C803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9914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AC6A9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9A598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0661E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E571AD5"/>
    <w:multiLevelType w:val="hybridMultilevel"/>
    <w:lvl w:ilvl="0" w:tplc="26F4380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62E8AB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3229D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7F5E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F9AA9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045DD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88CA3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0A58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5C6E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spacing w:after="240"/>
    </w:pPr>
    <w:rPr/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Body Text Indent"/>
    <w:basedOn w:val="P0"/>
    <w:next w:val="P19"/>
    <w:pPr>
      <w:ind w:firstLine="720"/>
    </w:pPr>
    <w:rPr>
      <w:rFonts w:ascii="Arial" w:hAnsi="Arial"/>
      <w:sz w:val="20"/>
    </w:rPr>
  </w:style>
  <w:style w:type="paragraph" w:styleId="P20">
    <w:name w:val=" Char Char Char Char Char1 Char"/>
    <w:basedOn w:val="P0"/>
    <w:next w:val="P20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1">
    <w:name w:val="Comment Text"/>
    <w:basedOn w:val="P0"/>
    <w:next w:val="P21"/>
    <w:pPr/>
    <w:rPr>
      <w:sz w:val="20"/>
    </w:rPr>
  </w:style>
  <w:style w:type="paragraph" w:styleId="P22">
    <w:name w:val="Car Car"/>
    <w:basedOn w:val="P0"/>
    <w:next w:val="P22"/>
    <w:pPr>
      <w:spacing w:lineRule="exact" w:line="240" w:after="160"/>
    </w:pPr>
    <w:rPr>
      <w:rFonts w:ascii="Verdana" w:hAnsi="Verdana"/>
      <w:i w:val="1"/>
      <w:sz w:val="20"/>
    </w:rPr>
  </w:style>
  <w:style w:type="paragraph" w:styleId="P23">
    <w:name w:val="Podnaslov sopstenja"/>
    <w:basedOn w:val="P0"/>
    <w:next w:val="P23"/>
    <w:pPr>
      <w:spacing w:after="120"/>
      <w:jc w:val="center"/>
    </w:pPr>
    <w:rPr>
      <w:rFonts w:ascii="Arial" w:hAnsi="Arial"/>
      <w:b w:val="1"/>
      <w:sz w:val="22"/>
    </w:rPr>
  </w:style>
  <w:style w:type="paragraph" w:styleId="P24">
    <w:name w:val="Title"/>
    <w:basedOn w:val="P0"/>
    <w:next w:val="P24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5">
    <w:name w:val="Caption"/>
    <w:basedOn w:val="P0"/>
    <w:next w:val="P0"/>
    <w:pPr/>
    <w:rPr>
      <w:b w:val="1"/>
      <w:sz w:val="20"/>
    </w:rPr>
  </w:style>
  <w:style w:type="paragraph" w:styleId="P26">
    <w:name w:val="Naslov tabela"/>
    <w:basedOn w:val="P0"/>
    <w:next w:val="P26"/>
    <w:p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7">
    <w:name w:val="Fusnota-Broj1"/>
    <w:basedOn w:val="P0"/>
    <w:next w:val="P27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28">
    <w:name w:val="Fusnota-Tekst1"/>
    <w:basedOn w:val="P0"/>
    <w:next w:val="P28"/>
    <w:link w:val="C6"/>
    <w:pPr/>
    <w:rPr>
      <w:rFonts w:ascii="Arial" w:hAnsi="Arial"/>
      <w:sz w:val="14"/>
    </w:rPr>
  </w:style>
  <w:style w:type="paragraph" w:styleId="P29">
    <w:name w:val="Char Char Char Char Char1 Char"/>
    <w:basedOn w:val="P0"/>
    <w:next w:val="P29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0">
    <w:name w:val="Body Text First Indent"/>
    <w:basedOn w:val="P13"/>
    <w:next w:val="P30"/>
    <w:pPr>
      <w:numPr>
        <w:numId w:val="10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31">
    <w:name w:val="Comment Subject"/>
    <w:basedOn w:val="P21"/>
    <w:next w:val="P21"/>
    <w:pPr/>
    <w:rPr>
      <w:b w:val="1"/>
    </w:rPr>
  </w:style>
  <w:style w:type="paragraph" w:styleId="P32">
    <w:name w:val="Naslov saopstenja"/>
    <w:basedOn w:val="P24"/>
    <w:next w:val="P25"/>
    <w:pPr>
      <w:spacing w:after="0"/>
    </w:pPr>
    <w:rPr>
      <w:sz w:val="24"/>
    </w:rPr>
  </w:style>
  <w:style w:type="paragraph" w:styleId="P33">
    <w:name w:val="Tekst Metodologija i Napomena"/>
    <w:basedOn w:val="P30"/>
    <w:next w:val="P13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0"/>
    <w:semiHidden/>
    <w:rPr>
      <w:rFonts w:ascii="Arial" w:hAnsi="Arial"/>
      <w:b w:val="1"/>
      <w:color w:val="00000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usnota-Tekst1 Char"/>
    <w:basedOn w:val="C0"/>
    <w:link w:val="P28"/>
    <w:rPr>
      <w:rFonts w:ascii="Arial" w:hAnsi="Arial"/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2013-10-14T07:09:00Z</dcterms:created>
  <cp:lastModifiedBy>Nikola Kapetanovic</cp:lastModifiedBy>
  <cp:lastPrinted>2012-07-12T10:14:00Z</cp:lastPrinted>
  <dcterms:modified xsi:type="dcterms:W3CDTF">2020-01-10T11:17:22Z</dcterms:modified>
  <cp:revision>4</cp:revision>
  <dc:title>Република Србија</dc:title>
</cp:coreProperties>
</file>