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32D9FD" Type="http://schemas.openxmlformats.org/officeDocument/2006/relationships/officeDocument" Target="/word/document.xml" /><Relationship Id="coreR7632D9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ИА01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285 - год. LXIII, 28.11.2013.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0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науке, технологије и иновација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</w:rPr>
            </w:pPr>
            <w:r>
              <w:t>СРБ285 ИА01 281113</w:t>
            </w:r>
          </w:p>
        </w:tc>
      </w:tr>
    </w:tbl>
    <w:p/>
    <w:p>
      <w:pPr>
        <w:pStyle w:val="P37"/>
      </w:pPr>
      <w:r>
        <w:t xml:space="preserve">Индикатори иновативних активности у Републици Србији, </w:t>
      </w:r>
    </w:p>
    <w:p>
      <w:pPr>
        <w:pStyle w:val="P37"/>
        <w:spacing w:before="0"/>
      </w:pPr>
      <w:r>
        <w:t>2010−2012.</w:t>
      </w:r>
    </w:p>
    <w:p>
      <w:pPr>
        <w:pStyle w:val="P10"/>
      </w:pPr>
    </w:p>
    <w:p>
      <w:pPr>
        <w:pStyle w:val="P10"/>
        <w:spacing w:before="120" w:after="0"/>
        <w:ind w:firstLine="397"/>
        <w:jc w:val="both"/>
        <w:rPr>
          <w:b w:val="0"/>
          <w:sz w:val="20"/>
        </w:rPr>
      </w:pPr>
      <w:r>
        <w:rPr>
          <w:b w:val="0"/>
          <w:sz w:val="20"/>
        </w:rPr>
        <w:t>Подаци приказани у овом саопштењу р</w:t>
      </w:r>
      <w:r>
        <w:rPr>
          <w:b w:val="0"/>
          <w:sz w:val="20"/>
        </w:rPr>
        <w:t>е</w:t>
      </w:r>
      <w:r>
        <w:rPr>
          <w:b w:val="0"/>
          <w:sz w:val="20"/>
        </w:rPr>
        <w:t>зултат су истраживања о иновативним активностима у пословним субјектима у периоду 20</w:t>
      </w:r>
      <w:r>
        <w:rPr>
          <w:b w:val="0"/>
          <w:sz w:val="20"/>
        </w:rPr>
        <w:t>10</w:t>
      </w:r>
      <w:r>
        <w:rPr>
          <w:b w:val="0"/>
          <w:sz w:val="20"/>
        </w:rPr>
        <w:t>–</w:t>
      </w:r>
      <w:r>
        <w:rPr>
          <w:b w:val="0"/>
          <w:sz w:val="20"/>
        </w:rPr>
        <w:t>201</w:t>
      </w:r>
      <w:r>
        <w:rPr>
          <w:b w:val="0"/>
          <w:sz w:val="20"/>
        </w:rPr>
        <w:t>2</w:t>
      </w:r>
      <w:r>
        <w:rPr>
          <w:b w:val="0"/>
          <w:sz w:val="20"/>
        </w:rPr>
        <w:t>,</w:t>
      </w:r>
      <w:r>
        <w:rPr>
          <w:b w:val="0"/>
          <w:sz w:val="20"/>
        </w:rPr>
        <w:t xml:space="preserve"> спроведеног на узорку од 3</w:t>
      </w:r>
      <w:r>
        <w:rPr>
          <w:b w:val="0"/>
          <w:sz w:val="20"/>
        </w:rPr>
        <w:t>500 пословних</w:t>
      </w:r>
      <w:r>
        <w:rPr>
          <w:b w:val="0"/>
          <w:sz w:val="20"/>
        </w:rPr>
        <w:t xml:space="preserve"> субјек</w:t>
      </w:r>
      <w:r>
        <w:rPr>
          <w:b w:val="0"/>
          <w:sz w:val="20"/>
        </w:rPr>
        <w:t>а</w:t>
      </w:r>
      <w:r>
        <w:rPr>
          <w:b w:val="0"/>
          <w:sz w:val="20"/>
        </w:rPr>
        <w:t xml:space="preserve">та. Према том истраживању, иновативни пословни субјекти дефинисани су као пословни субјекти који су у посматраном периоду увели иновацију производа или процеса, иновацију у организацији или маркетиншку иновацију. Истраживање је показало да је учешће пословних субјеката са бар једном од наведених врста иновација </w:t>
      </w:r>
      <w:r>
        <w:rPr>
          <w:b w:val="0"/>
          <w:sz w:val="20"/>
        </w:rPr>
        <w:t xml:space="preserve">око </w:t>
      </w:r>
      <w:r>
        <w:rPr>
          <w:b w:val="0"/>
          <w:sz w:val="20"/>
        </w:rPr>
        <w:t>4</w:t>
      </w:r>
      <w:r>
        <w:rPr>
          <w:b w:val="0"/>
          <w:sz w:val="20"/>
        </w:rPr>
        <w:t>5</w:t>
      </w:r>
      <w:r>
        <w:rPr>
          <w:b w:val="0"/>
          <w:sz w:val="20"/>
        </w:rPr>
        <w:t xml:space="preserve">%. Величина пословног субјекта је кључни фактор </w:t>
      </w:r>
      <w:r>
        <w:rPr>
          <w:b w:val="0"/>
          <w:sz w:val="20"/>
        </w:rPr>
        <w:t xml:space="preserve">за његове </w:t>
      </w:r>
      <w:r>
        <w:rPr>
          <w:b w:val="0"/>
          <w:sz w:val="20"/>
        </w:rPr>
        <w:t xml:space="preserve">иновативне активности. Иновативно је </w:t>
      </w:r>
      <w:r>
        <w:rPr>
          <w:b w:val="0"/>
          <w:sz w:val="20"/>
        </w:rPr>
        <w:t>преко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66</w:t>
      </w:r>
      <w:r>
        <w:rPr>
          <w:b w:val="0"/>
          <w:sz w:val="20"/>
        </w:rPr>
        <w:t>% великих пословних субјеката, нешто више од половине средњих пословних субјеката</w:t>
      </w:r>
      <w:r>
        <w:rPr>
          <w:b w:val="0"/>
          <w:sz w:val="20"/>
        </w:rPr>
        <w:t xml:space="preserve"> и више од </w:t>
      </w:r>
      <w:r>
        <w:rPr>
          <w:b w:val="0"/>
          <w:sz w:val="20"/>
        </w:rPr>
        <w:t>40%</w:t>
      </w:r>
      <w:r>
        <w:rPr>
          <w:b w:val="0"/>
          <w:sz w:val="20"/>
        </w:rPr>
        <w:t xml:space="preserve"> малих пословних субјеката. Иновативне активности су више заступљене код производних пословних субјеката, где је иновације увел</w:t>
      </w:r>
      <w:r>
        <w:rPr>
          <w:b w:val="0"/>
          <w:sz w:val="20"/>
        </w:rPr>
        <w:t>а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готово </w:t>
      </w:r>
      <w:r>
        <w:rPr>
          <w:b w:val="0"/>
          <w:sz w:val="20"/>
        </w:rPr>
        <w:t>половин</w:t>
      </w:r>
      <w:r>
        <w:rPr>
          <w:b w:val="0"/>
          <w:sz w:val="20"/>
        </w:rPr>
        <w:t>а</w:t>
      </w:r>
      <w:r>
        <w:rPr>
          <w:b w:val="0"/>
          <w:sz w:val="20"/>
        </w:rPr>
        <w:t xml:space="preserve"> њих</w:t>
      </w:r>
      <w:r>
        <w:rPr>
          <w:b w:val="0"/>
          <w:sz w:val="20"/>
        </w:rPr>
        <w:t>,</w:t>
      </w:r>
      <w:r>
        <w:rPr>
          <w:b w:val="0"/>
          <w:sz w:val="20"/>
        </w:rPr>
        <w:t xml:space="preserve"> док је </w:t>
      </w:r>
      <w:r>
        <w:rPr>
          <w:b w:val="0"/>
          <w:sz w:val="20"/>
        </w:rPr>
        <w:t>преко 40%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услужних пословних субјеката увело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иновације</w:t>
      </w:r>
      <w:r>
        <w:rPr>
          <w:b w:val="0"/>
          <w:sz w:val="20"/>
        </w:rPr>
        <w:t>.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spacing w:after="60"/>
        <w:rPr>
          <w:b w:val="0"/>
        </w:rPr>
      </w:pPr>
      <w:r>
        <w:rPr>
          <w:b w:val="1"/>
        </w:rPr>
        <w:t xml:space="preserve">1. </w:t>
      </w:r>
      <w:r>
        <w:rPr>
          <w:b w:val="1"/>
        </w:rPr>
        <w:t>Пословни субјекти према иновативности, делатности и величини, у период</w:t>
      </w:r>
      <w:r>
        <w:rPr>
          <w:b w:val="1"/>
        </w:rPr>
        <w:t>у 2</w:t>
      </w:r>
      <w:r>
        <w:rPr>
          <w:b w:val="1"/>
        </w:rPr>
        <w:t>010–</w:t>
      </w:r>
      <w:r>
        <w:rPr>
          <w:b w:val="1"/>
        </w:rPr>
        <w:t>2012.</w:t>
      </w:r>
    </w:p>
    <w:tbl>
      <w:tblPr>
        <w:tblStyle w:val="T2"/>
        <w:tblW w:w="10245" w:type="dxa"/>
        <w:jc w:val="center"/>
        <w:tblInd w:w="93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09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8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Иноватори</w:t>
            </w:r>
          </w:p>
        </w:tc>
        <w:tc>
          <w:tcPr>
            <w:tcW w:w="16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Пословни субјекти који нису иновирали</w:t>
            </w:r>
          </w:p>
        </w:tc>
        <w:tc>
          <w:tcPr>
            <w:tcW w:w="17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Учешће иноватора (%)</w:t>
            </w: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903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83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72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9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11841</w:t>
            </w:r>
          </w:p>
        </w:tc>
        <w:tc>
          <w:tcPr>
            <w:tcW w:w="1837" w:type="dxa"/>
            <w:vAlign w:val="bottom"/>
          </w:tcPr>
          <w:p>
            <w:pPr>
              <w:ind w:right="170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5280</w:t>
            </w:r>
          </w:p>
        </w:tc>
        <w:tc>
          <w:tcPr>
            <w:tcW w:w="1683" w:type="dxa"/>
            <w:vAlign w:val="bottom"/>
          </w:tcPr>
          <w:p>
            <w:pPr>
              <w:ind w:right="170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6561</w:t>
            </w:r>
          </w:p>
        </w:tc>
        <w:tc>
          <w:tcPr>
            <w:tcW w:w="1727" w:type="dxa"/>
            <w:vAlign w:val="bottom"/>
          </w:tcPr>
          <w:p>
            <w:pPr>
              <w:ind w:right="170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44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6</w:t>
            </w: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Мали пословни субјекти</w:t>
            </w:r>
          </w:p>
        </w:tc>
        <w:tc>
          <w:tcPr>
            <w:tcW w:w="19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9057</w:t>
            </w:r>
          </w:p>
        </w:tc>
        <w:tc>
          <w:tcPr>
            <w:tcW w:w="183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3691</w:t>
            </w:r>
          </w:p>
        </w:tc>
        <w:tc>
          <w:tcPr>
            <w:tcW w:w="1683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5366</w:t>
            </w:r>
          </w:p>
        </w:tc>
        <w:tc>
          <w:tcPr>
            <w:tcW w:w="172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40,8</w:t>
            </w: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Средњи пословни субјекти</w:t>
            </w:r>
          </w:p>
        </w:tc>
        <w:tc>
          <w:tcPr>
            <w:tcW w:w="19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2264</w:t>
            </w:r>
          </w:p>
        </w:tc>
        <w:tc>
          <w:tcPr>
            <w:tcW w:w="183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1245</w:t>
            </w:r>
          </w:p>
        </w:tc>
        <w:tc>
          <w:tcPr>
            <w:tcW w:w="1683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172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Велики пословни субјекти</w:t>
            </w:r>
          </w:p>
        </w:tc>
        <w:tc>
          <w:tcPr>
            <w:tcW w:w="19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83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683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72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66,2</w:t>
            </w: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Производни пословни субјекти</w:t>
            </w:r>
          </w:p>
        </w:tc>
        <w:tc>
          <w:tcPr>
            <w:tcW w:w="19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4122</w:t>
            </w:r>
          </w:p>
        </w:tc>
        <w:tc>
          <w:tcPr>
            <w:tcW w:w="183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1683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2195</w:t>
            </w:r>
          </w:p>
        </w:tc>
        <w:tc>
          <w:tcPr>
            <w:tcW w:w="172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48,7</w:t>
            </w:r>
          </w:p>
        </w:tc>
      </w:tr>
      <w:tr>
        <w:trPr>
          <w:wAfter w:w="0" w:type="dxa"/>
          <w:trHeight w:hRule="atLeast" w:val="20"/>
        </w:trPr>
        <w:tc>
          <w:tcPr>
            <w:tcW w:w="309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Услужни пословни субјекти</w:t>
            </w:r>
          </w:p>
        </w:tc>
        <w:tc>
          <w:tcPr>
            <w:tcW w:w="190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7719</w:t>
            </w:r>
          </w:p>
        </w:tc>
        <w:tc>
          <w:tcPr>
            <w:tcW w:w="183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3273</w:t>
            </w:r>
          </w:p>
        </w:tc>
        <w:tc>
          <w:tcPr>
            <w:tcW w:w="1683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4366</w:t>
            </w:r>
          </w:p>
        </w:tc>
        <w:tc>
          <w:tcPr>
            <w:tcW w:w="1727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</w:tr>
    </w:tbl>
    <w:p>
      <w:pPr>
        <w:pStyle w:val="P12"/>
        <w:spacing w:after="0"/>
        <w:ind w:firstLine="397"/>
        <w:jc w:val="both"/>
        <w:rPr>
          <w:b w:val="0"/>
          <w:sz w:val="10"/>
        </w:rPr>
      </w:pPr>
    </w:p>
    <w:p>
      <w:pPr>
        <w:pStyle w:val="P12"/>
        <w:spacing w:after="0"/>
        <w:ind w:firstLine="397"/>
        <w:jc w:val="both"/>
        <w:rPr>
          <w:b w:val="0"/>
        </w:rPr>
      </w:pPr>
      <w:r>
        <w:rPr>
          <w:b w:val="0"/>
        </w:rPr>
        <w:t>Готово је исто учешће пословних субјеката иноватора производа и процеса</w:t>
      </w:r>
      <w:r>
        <w:rPr>
          <w:b w:val="0"/>
        </w:rPr>
        <w:t>, док је учешће</w:t>
      </w:r>
      <w:r>
        <w:rPr>
          <w:b w:val="0"/>
        </w:rPr>
        <w:t xml:space="preserve"> иноватора у организацији и маркетингу веће</w:t>
      </w:r>
      <w:r>
        <w:rPr>
          <w:b w:val="0"/>
        </w:rPr>
        <w:t xml:space="preserve"> за трећину</w:t>
      </w:r>
      <w:r>
        <w:rPr>
          <w:b w:val="0"/>
        </w:rPr>
        <w:t xml:space="preserve">. Ове две групе иновација се, углавном, јављају истовремено у пословним субјектима. Иновативни пословни субјекти који истовремено имају иновације производа и процеса и иновације у организацији и маркетингу чешћи су код производних пословних субјеката него код услужних. </w:t>
      </w:r>
      <w:r>
        <w:rPr>
          <w:b w:val="0"/>
        </w:rPr>
        <w:t xml:space="preserve">Скоро </w:t>
      </w:r>
      <w:r>
        <w:rPr>
          <w:b w:val="0"/>
        </w:rPr>
        <w:t>половин</w:t>
      </w:r>
      <w:r>
        <w:rPr>
          <w:b w:val="0"/>
        </w:rPr>
        <w:t>а</w:t>
      </w:r>
      <w:r>
        <w:rPr>
          <w:b w:val="0"/>
        </w:rPr>
        <w:t xml:space="preserve"> великих пословних субјеката истовремено је увел</w:t>
      </w:r>
      <w:r>
        <w:rPr>
          <w:b w:val="0"/>
        </w:rPr>
        <w:t>а</w:t>
      </w:r>
      <w:r>
        <w:rPr>
          <w:b w:val="0"/>
        </w:rPr>
        <w:t xml:space="preserve"> иновације производа и процеса и иновације у организацији или маркетингу, док учешће средњих и малих пословних субјеката </w:t>
      </w:r>
      <w:r>
        <w:rPr>
          <w:b w:val="0"/>
        </w:rPr>
        <w:t>опада</w:t>
      </w:r>
      <w:r>
        <w:rPr>
          <w:b w:val="0"/>
        </w:rPr>
        <w:t xml:space="preserve"> са величином</w:t>
      </w:r>
      <w:r>
        <w:rPr>
          <w:b w:val="0"/>
        </w:rPr>
        <w:t>.</w:t>
      </w:r>
    </w:p>
    <w:p>
      <w:pPr>
        <w:pStyle w:val="P12"/>
        <w:spacing w:after="0"/>
        <w:ind w:firstLine="397"/>
        <w:jc w:val="both"/>
        <w:rPr>
          <w:b w:val="0"/>
        </w:rPr>
      </w:pPr>
    </w:p>
    <w:p>
      <w:pPr>
        <w:spacing w:after="60"/>
        <w:rPr>
          <w:b w:val="0"/>
        </w:rPr>
      </w:pPr>
      <w:r>
        <w:rPr>
          <w:b w:val="1"/>
        </w:rPr>
        <w:t xml:space="preserve">2. Заступљеност врста иновација према територији и </w:t>
      </w:r>
      <w:r>
        <w:rPr>
          <w:b w:val="1"/>
        </w:rPr>
        <w:t>величини пословног субјекта (%)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85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Територија</w:t>
            </w:r>
          </w:p>
        </w:tc>
        <w:tc>
          <w:tcPr>
            <w:tcW w:w="99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</w:tc>
        <w:tc>
          <w:tcPr>
            <w:tcW w:w="6096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Пословни субјекти – иноватори</w:t>
            </w:r>
          </w:p>
        </w:tc>
        <w:tc>
          <w:tcPr>
            <w:tcW w:w="12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Неиноватори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иновације производа/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услуге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иновације производног процеса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напуштене иновације / још увек у току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иновације у организацији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иновације у маркетингу</w:t>
            </w:r>
          </w:p>
        </w:tc>
        <w:tc>
          <w:tcPr>
            <w:tcW w:w="12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21</w:t>
            </w:r>
            <w:r>
              <w:rPr>
                <w:b w:val="1"/>
                <w:sz w:val="16"/>
              </w:rPr>
              <w:t>,0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19,1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7,</w:t>
            </w:r>
            <w:r>
              <w:rPr>
                <w:b w:val="1"/>
                <w:sz w:val="16"/>
              </w:rPr>
              <w:t>9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31,4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29,7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55,4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17,6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15,8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5,3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28</w:t>
            </w:r>
            <w:r>
              <w:rPr>
                <w:b w:val="1"/>
                <w:sz w:val="16"/>
              </w:rPr>
              <w:t>,0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27,3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59,2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29,6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27,5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14,6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41</w:t>
            </w:r>
            <w:r>
              <w:rPr>
                <w:b w:val="1"/>
                <w:sz w:val="16"/>
              </w:rPr>
              <w:t>,0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36,3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45</w:t>
            </w:r>
            <w:r>
              <w:rPr>
                <w:b w:val="1"/>
                <w:sz w:val="16"/>
              </w:rPr>
              <w:t>,0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43,3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38,8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23,1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50,2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43,3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33,8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b w:val="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− СЕВЕР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30,6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54,4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17,3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58,2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27,2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35,6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44,1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25,3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46,6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7,95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32,6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51,4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18,6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17,6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5,22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54,5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28,9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29,8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45,2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36,1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40,7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40,7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127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53,2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  <w:tc>
          <w:tcPr>
            <w:tcW w:w="1266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29,2</w:t>
            </w:r>
          </w:p>
        </w:tc>
      </w:tr>
    </w:tbl>
    <w:p>
      <w:pPr>
        <w:spacing w:lineRule="auto" w:line="264"/>
        <w:rPr>
          <w:b w:val="0"/>
        </w:rPr>
      </w:pPr>
      <w:r>
        <w:rPr>
          <w:b w:val="1"/>
        </w:rPr>
        <w:t xml:space="preserve">2. Заступљеност врста иновација према територији и величини пословног субјекта </w:t>
      </w:r>
      <w:r>
        <w:rPr>
          <w:b w:val="1"/>
        </w:rPr>
        <w:t>(%)</w:t>
      </w:r>
      <w:r>
        <w:rPr>
          <w:b w:val="1"/>
        </w:rPr>
        <w:t xml:space="preserve"> </w:t>
      </w:r>
      <w: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85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Територија</w:t>
            </w:r>
          </w:p>
        </w:tc>
        <w:tc>
          <w:tcPr>
            <w:tcW w:w="99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</w:tc>
        <w:tc>
          <w:tcPr>
            <w:tcW w:w="6096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Пословни субјекти – иноватори</w:t>
            </w:r>
          </w:p>
        </w:tc>
        <w:tc>
          <w:tcPr>
            <w:tcW w:w="12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Неиноватори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иновације производа/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услуге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иновације производног процеса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напуштене иновације или још увек у току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иновације у организацији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иновације у маркетингу</w:t>
            </w:r>
          </w:p>
        </w:tc>
        <w:tc>
          <w:tcPr>
            <w:tcW w:w="12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7,38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27,8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58,6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25,1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63,3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24,9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34,8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44,4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46,7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− ЈУГ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8,14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28,1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5,69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61,3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37,4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48,2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39,9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Регион Шумадије и Западне Србије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7,93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58,9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36,6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48,1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8,49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28,4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60,4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6,43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65,3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38,5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</w:tr>
      <w:tr>
        <w:trPr>
          <w:wAfter w:w="0" w:type="dxa"/>
          <w:trHeight w:hRule="atLeast" w:val="20"/>
        </w:trPr>
        <w:tc>
          <w:tcPr>
            <w:tcW w:w="1858" w:type="dxa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126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41,7</w:t>
            </w:r>
          </w:p>
        </w:tc>
      </w:tr>
    </w:tbl>
    <w:p>
      <w:pPr>
        <w:pStyle w:val="P12"/>
        <w:spacing w:lineRule="auto" w:line="264" w:before="0" w:after="0"/>
        <w:jc w:val="left"/>
        <w:rPr>
          <w:sz w:val="22"/>
        </w:rPr>
      </w:pPr>
    </w:p>
    <w:p>
      <w:pPr>
        <w:pStyle w:val="P12"/>
        <w:spacing w:lineRule="auto" w:line="264" w:before="0" w:after="0"/>
        <w:jc w:val="left"/>
      </w:pPr>
      <w:r>
        <w:t>3. Пословни субјекти према врсти иновативности и секторима делатности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572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589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Иноватори</w:t>
            </w:r>
          </w:p>
        </w:tc>
        <w:tc>
          <w:tcPr>
            <w:tcW w:w="7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Неино-ватори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357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иноватори производа и процеса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иноватори у организацији и маркетингу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иноватори производа и процеса и иноватори у организацији и маркетингу</w:t>
            </w:r>
          </w:p>
        </w:tc>
        <w:tc>
          <w:tcPr>
            <w:tcW w:w="7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57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34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75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572" w:type="dxa"/>
            <w:gridSpan w:val="2"/>
            <w:tcBorders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5280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44,6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3250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27,4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4705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39,7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2676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22,6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b w:val="0"/>
                <w:sz w:val="16"/>
              </w:rPr>
            </w:pPr>
            <w:r>
              <w:rPr>
                <w:b w:val="1"/>
                <w:sz w:val="16"/>
              </w:rPr>
              <w:t>55,4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A: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30,3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17,3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69,7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B: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27,8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63,0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50,5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1279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35,9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1589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44,6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1071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D: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46,2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35,9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37,2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53,8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Е: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Снабдевање водом и управљање отпадним водама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25,3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67,5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F: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40,6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36,9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59,4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1344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1219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38,1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58,0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H: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34,4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25,1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I: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42,6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16,6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57,7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Ј: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Информисање и комуникације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53,7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35,6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К: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Финансијске делатности и осигурање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72,1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51,6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63,9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43,4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L: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73,3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49,4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N: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37,7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35,5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20,1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62,3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Q: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R:</w:t>
            </w:r>
          </w:p>
        </w:tc>
        <w:tc>
          <w:tcPr>
            <w:tcW w:w="334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1" w:type="dxa"/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>
      <w:pPr>
        <w:pStyle w:val="P12"/>
        <w:jc w:val="left"/>
        <w:rPr>
          <w:sz w:val="22"/>
        </w:rPr>
      </w:pPr>
    </w:p>
    <w:p>
      <w:pPr>
        <w:pStyle w:val="P12"/>
        <w:jc w:val="left"/>
        <w:rPr>
          <w:sz w:val="22"/>
        </w:rPr>
      </w:pPr>
      <w:r>
        <w:rPr>
          <w:sz w:val="22"/>
        </w:rPr>
        <w:br w:type="page"/>
        <w:t>4. Удео у укупном приходу од иновација производа/услуга</w:t>
      </w:r>
    </w:p>
    <w:p>
      <w:pPr>
        <w:pStyle w:val="P12"/>
        <w:spacing w:after="0"/>
        <w:ind w:firstLine="397"/>
        <w:jc w:val="both"/>
        <w:rPr>
          <w:b w:val="0"/>
        </w:rPr>
      </w:pPr>
      <w:r>
        <w:rPr>
          <w:b w:val="0"/>
        </w:rPr>
        <w:t xml:space="preserve">У структури прихода пословних субјеката </w:t>
      </w:r>
      <w:r>
        <w:rPr>
          <w:b w:val="0"/>
        </w:rPr>
        <w:t xml:space="preserve">иноватора </w:t>
      </w:r>
      <w:r>
        <w:rPr>
          <w:b w:val="0"/>
        </w:rPr>
        <w:t>доминира учешће прихода од продаје непромењен</w:t>
      </w:r>
      <w:r>
        <w:rPr>
          <w:b w:val="0"/>
        </w:rPr>
        <w:t>их</w:t>
      </w:r>
      <w:r>
        <w:rPr>
          <w:b w:val="0"/>
        </w:rPr>
        <w:t xml:space="preserve"> или занемарљиво мало промењених</w:t>
      </w:r>
      <w:r>
        <w:rPr>
          <w:b w:val="0"/>
        </w:rPr>
        <w:t xml:space="preserve"> производа</w:t>
      </w:r>
      <w:r>
        <w:rPr>
          <w:b w:val="0"/>
        </w:rPr>
        <w:t>,</w:t>
      </w:r>
      <w:r>
        <w:rPr>
          <w:b w:val="0"/>
        </w:rPr>
        <w:t xml:space="preserve"> </w:t>
      </w:r>
      <w:r>
        <w:rPr>
          <w:b w:val="0"/>
        </w:rPr>
        <w:t>3</w:t>
      </w:r>
      <w:r>
        <w:rPr>
          <w:b w:val="0"/>
        </w:rPr>
        <w:t>7</w:t>
      </w:r>
      <w:r>
        <w:rPr>
          <w:b w:val="0"/>
        </w:rPr>
        <w:t>%</w:t>
      </w:r>
      <w:r>
        <w:rPr>
          <w:b w:val="0"/>
        </w:rPr>
        <w:t>, у</w:t>
      </w:r>
      <w:r>
        <w:rPr>
          <w:b w:val="0"/>
        </w:rPr>
        <w:t xml:space="preserve">чешће од продаје производа/услуга који су нови за пословни субјекат </w:t>
      </w:r>
      <w:r>
        <w:rPr>
          <w:b w:val="0"/>
        </w:rPr>
        <w:t>и</w:t>
      </w:r>
      <w:r>
        <w:rPr>
          <w:b w:val="0"/>
        </w:rPr>
        <w:t xml:space="preserve"> учешће од продаје производа/услуга који су нови на тржишту </w:t>
      </w:r>
      <w:r>
        <w:rPr>
          <w:b w:val="0"/>
        </w:rPr>
        <w:t>је око 1</w:t>
      </w:r>
      <w:r>
        <w:rPr>
          <w:b w:val="0"/>
        </w:rPr>
        <w:t>3</w:t>
      </w:r>
      <w:r>
        <w:rPr>
          <w:b w:val="0"/>
        </w:rPr>
        <w:t>%.</w:t>
      </w:r>
      <w:r>
        <w:rPr>
          <w:b w:val="0"/>
        </w:rPr>
        <w:t xml:space="preserve"> </w:t>
      </w:r>
    </w:p>
    <w:p>
      <w:pPr>
        <w:pStyle w:val="P12"/>
        <w:spacing w:before="0" w:after="0"/>
      </w:pPr>
    </w:p>
    <w:p>
      <w:pPr>
        <w:pStyle w:val="P12"/>
        <w:spacing w:before="0" w:after="0"/>
      </w:pPr>
    </w:p>
    <w:p>
      <w:pPr>
        <w:pStyle w:val="P12"/>
        <w:spacing w:before="0" w:after="0"/>
      </w:pPr>
      <w:r>
        <w:drawing>
          <wp:inline xmlns:wp="http://schemas.openxmlformats.org/drawingml/2006/wordprocessingDrawing">
            <wp:extent cx="4859020" cy="30029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30029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2"/>
        <w:spacing w:before="360" w:after="0"/>
        <w:ind w:firstLine="397"/>
        <w:jc w:val="both"/>
        <w:rPr>
          <w:b w:val="0"/>
        </w:rPr>
      </w:pPr>
      <w:r>
        <w:rPr>
          <w:b w:val="0"/>
        </w:rPr>
        <w:t>Ф</w:t>
      </w:r>
      <w:r>
        <w:rPr>
          <w:b w:val="0"/>
        </w:rPr>
        <w:t>инансијску помоћ од државних инстанци (финансијску подршку у виду пореских олакшица, грантова, субвенционисаних зајмова или зајмовних гаранција)</w:t>
      </w:r>
      <w:r>
        <w:rPr>
          <w:b w:val="0"/>
        </w:rPr>
        <w:t xml:space="preserve"> добило је 11% пословних субјеката </w:t>
      </w:r>
      <w:r>
        <w:rPr>
          <w:b w:val="0"/>
        </w:rPr>
        <w:t>–</w:t>
      </w:r>
      <w:r>
        <w:rPr>
          <w:b w:val="0"/>
        </w:rPr>
        <w:t xml:space="preserve"> иноватора</w:t>
      </w:r>
      <w:r>
        <w:rPr>
          <w:b w:val="0"/>
        </w:rPr>
        <w:t xml:space="preserve">. </w:t>
      </w:r>
    </w:p>
    <w:p>
      <w:pPr>
        <w:pStyle w:val="P12"/>
        <w:spacing w:before="0" w:after="0"/>
        <w:rPr>
          <w:sz w:val="18"/>
        </w:rPr>
      </w:pPr>
    </w:p>
    <w:p>
      <w:pPr>
        <w:pStyle w:val="P12"/>
        <w:spacing w:before="0" w:after="0"/>
        <w:rPr>
          <w:sz w:val="18"/>
        </w:rPr>
      </w:pPr>
    </w:p>
    <w:p>
      <w:pPr>
        <w:pStyle w:val="P12"/>
        <w:spacing w:before="0" w:after="0"/>
        <w:rPr>
          <w:sz w:val="18"/>
        </w:rPr>
      </w:pPr>
      <w:r>
        <w:drawing>
          <wp:inline xmlns:wp="http://schemas.openxmlformats.org/drawingml/2006/wordprocessingDrawing">
            <wp:extent cx="5056505" cy="296418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29641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2"/>
        <w:spacing w:before="0"/>
        <w:jc w:val="left"/>
        <w:rPr>
          <w:sz w:val="22"/>
        </w:rPr>
      </w:pPr>
      <w:r>
        <w:rPr>
          <w:sz w:val="22"/>
        </w:rPr>
        <w:br w:type="page"/>
        <w:t>5. Тржиште продаје производа или услуга у периоду 2010–2012.</w:t>
      </w:r>
    </w:p>
    <w:p>
      <w:pPr>
        <w:pStyle w:val="P12"/>
        <w:spacing w:after="0"/>
        <w:ind w:firstLine="397"/>
        <w:jc w:val="both"/>
        <w:rPr>
          <w:b w:val="0"/>
        </w:rPr>
      </w:pPr>
      <w:r>
        <w:rPr>
          <w:b w:val="0"/>
        </w:rPr>
        <w:t>Најбројнији су пословни субјекти који прода</w:t>
      </w:r>
      <w:r>
        <w:rPr>
          <w:b w:val="0"/>
        </w:rPr>
        <w:t xml:space="preserve">ју производе/услуге на локалном </w:t>
      </w:r>
      <w:r>
        <w:rPr>
          <w:b w:val="0"/>
        </w:rPr>
        <w:t>–</w:t>
      </w:r>
      <w:r>
        <w:rPr>
          <w:b w:val="0"/>
        </w:rPr>
        <w:t xml:space="preserve"> </w:t>
      </w:r>
      <w:r>
        <w:rPr>
          <w:b w:val="0"/>
        </w:rPr>
        <w:t>регионалном тржишту, затим они који продају на националном тржишту</w:t>
      </w:r>
      <w:r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</w:rPr>
        <w:t>Учешће иноватора</w:t>
      </w:r>
      <w:r>
        <w:rPr>
          <w:b w:val="0"/>
        </w:rPr>
        <w:t>,</w:t>
      </w:r>
      <w:r>
        <w:rPr>
          <w:b w:val="0"/>
        </w:rPr>
        <w:t xml:space="preserve"> у односу на неиноваторе на</w:t>
      </w:r>
      <w:r>
        <w:rPr>
          <w:b w:val="0"/>
        </w:rPr>
        <w:t xml:space="preserve"> тржишт</w:t>
      </w:r>
      <w:r>
        <w:rPr>
          <w:b w:val="0"/>
        </w:rPr>
        <w:t>у</w:t>
      </w:r>
      <w:r>
        <w:rPr>
          <w:b w:val="0"/>
        </w:rPr>
        <w:t xml:space="preserve"> земаља ЕУ,</w:t>
      </w:r>
      <w:r>
        <w:rPr>
          <w:b w:val="0"/>
        </w:rPr>
        <w:t xml:space="preserve"> </w:t>
      </w:r>
      <w:r>
        <w:rPr>
          <w:b w:val="0"/>
        </w:rPr>
        <w:t xml:space="preserve">ЕФТА, </w:t>
      </w:r>
      <w:r>
        <w:rPr>
          <w:b w:val="0"/>
        </w:rPr>
        <w:t xml:space="preserve">готово </w:t>
      </w:r>
      <w:r>
        <w:rPr>
          <w:b w:val="0"/>
        </w:rPr>
        <w:t>је</w:t>
      </w:r>
      <w:r>
        <w:rPr>
          <w:b w:val="0"/>
        </w:rPr>
        <w:t xml:space="preserve"> </w:t>
      </w:r>
      <w:r>
        <w:rPr>
          <w:b w:val="0"/>
        </w:rPr>
        <w:t>дупло веће</w:t>
      </w:r>
      <w:r>
        <w:rPr>
          <w:b w:val="0"/>
        </w:rPr>
        <w:t xml:space="preserve">, а </w:t>
      </w:r>
      <w:r>
        <w:rPr>
          <w:b w:val="0"/>
        </w:rPr>
        <w:t>на</w:t>
      </w:r>
      <w:r>
        <w:rPr>
          <w:b w:val="0"/>
        </w:rPr>
        <w:t xml:space="preserve"> тржишт</w:t>
      </w:r>
      <w:r>
        <w:rPr>
          <w:b w:val="0"/>
        </w:rPr>
        <w:t>има</w:t>
      </w:r>
      <w:r>
        <w:rPr>
          <w:b w:val="0"/>
        </w:rPr>
        <w:t xml:space="preserve"> осталих земаља и до </w:t>
      </w:r>
      <w:r>
        <w:rPr>
          <w:b w:val="0"/>
        </w:rPr>
        <w:t>т</w:t>
      </w:r>
      <w:r>
        <w:rPr>
          <w:b w:val="0"/>
        </w:rPr>
        <w:t xml:space="preserve">ри пута је </w:t>
      </w:r>
      <w:r>
        <w:rPr>
          <w:b w:val="0"/>
        </w:rPr>
        <w:t>веће</w:t>
      </w:r>
      <w:r>
        <w:rPr>
          <w:b w:val="0"/>
        </w:rPr>
        <w:t>.</w:t>
      </w:r>
    </w:p>
    <w:p>
      <w:pPr>
        <w:pStyle w:val="P12"/>
        <w:spacing w:after="0"/>
        <w:ind w:firstLine="397"/>
        <w:jc w:val="both"/>
        <w:rPr>
          <w:b w:val="0"/>
        </w:rPr>
      </w:pPr>
    </w:p>
    <w:tbl>
      <w:tblPr>
        <w:tblStyle w:val="T2"/>
        <w:tblW w:w="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Тржиште</w:t>
            </w:r>
          </w:p>
        </w:tc>
        <w:tc>
          <w:tcPr>
            <w:tcW w:w="4037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Иноватори</w:t>
            </w:r>
          </w:p>
        </w:tc>
        <w:tc>
          <w:tcPr>
            <w:tcW w:w="1606" w:type="dxa"/>
            <w:vMerge w:val="restart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Неиноватори</w:t>
            </w:r>
          </w:p>
        </w:tc>
      </w:tr>
      <w:tr>
        <w:trPr>
          <w:wAfter w:w="0" w:type="dxa"/>
          <w:trHeight w:hRule="atLeast" w:val="20"/>
        </w:trPr>
        <w:tc>
          <w:tcPr>
            <w:tcW w:w="368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96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иноватори производа и процеса</w:t>
            </w:r>
          </w:p>
        </w:tc>
        <w:tc>
          <w:tcPr>
            <w:tcW w:w="206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иноватори у организацији и маркетингу</w:t>
            </w:r>
          </w:p>
        </w:tc>
        <w:tc>
          <w:tcPr>
            <w:tcW w:w="1606" w:type="dxa"/>
            <w:vMerge w:val="continue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9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969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2068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606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Локално, регионално тржиште</w:t>
            </w:r>
          </w:p>
        </w:tc>
        <w:tc>
          <w:tcPr>
            <w:tcW w:w="1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49,1</w:t>
            </w:r>
          </w:p>
        </w:tc>
        <w:tc>
          <w:tcPr>
            <w:tcW w:w="20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54,2</w:t>
            </w:r>
          </w:p>
        </w:tc>
        <w:tc>
          <w:tcPr>
            <w:tcW w:w="1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66,9</w:t>
            </w:r>
          </w:p>
        </w:tc>
      </w:tr>
      <w:tr>
        <w:trPr>
          <w:wAfter w:w="0" w:type="dxa"/>
          <w:trHeight w:hRule="atLeast" w:val="20"/>
        </w:trPr>
        <w:tc>
          <w:tcPr>
            <w:tcW w:w="36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Национално тржиште</w:t>
            </w:r>
          </w:p>
        </w:tc>
        <w:tc>
          <w:tcPr>
            <w:tcW w:w="1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40,7</w:t>
            </w:r>
          </w:p>
        </w:tc>
        <w:tc>
          <w:tcPr>
            <w:tcW w:w="20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37,8</w:t>
            </w:r>
          </w:p>
        </w:tc>
        <w:tc>
          <w:tcPr>
            <w:tcW w:w="1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28,4</w:t>
            </w:r>
          </w:p>
        </w:tc>
      </w:tr>
      <w:tr>
        <w:trPr>
          <w:wAfter w:w="0" w:type="dxa"/>
          <w:trHeight w:hRule="atLeast" w:val="20"/>
        </w:trPr>
        <w:tc>
          <w:tcPr>
            <w:tcW w:w="36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Земље ЕУ, ЕФТА</w:t>
            </w:r>
          </w:p>
        </w:tc>
        <w:tc>
          <w:tcPr>
            <w:tcW w:w="1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20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</w:tr>
      <w:tr>
        <w:trPr>
          <w:wAfter w:w="0" w:type="dxa"/>
          <w:trHeight w:hRule="atLeast" w:val="20"/>
        </w:trPr>
        <w:tc>
          <w:tcPr>
            <w:tcW w:w="36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Друге државе</w:t>
            </w:r>
          </w:p>
        </w:tc>
        <w:tc>
          <w:tcPr>
            <w:tcW w:w="1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20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</w:tbl>
    <w:p>
      <w:pPr>
        <w:spacing w:before="480" w:after="240"/>
        <w:rPr>
          <w:b w:val="0"/>
          <w:sz w:val="22"/>
        </w:rPr>
      </w:pPr>
      <w:r>
        <w:rPr>
          <w:b w:val="1"/>
        </w:rPr>
        <w:t>6</w:t>
      </w:r>
      <w:r>
        <w:rPr>
          <w:b w:val="1"/>
        </w:rPr>
        <w:t>.</w:t>
      </w:r>
      <w:r>
        <w:t xml:space="preserve"> </w:t>
      </w:r>
      <w:r>
        <w:rPr>
          <w:b w:val="1"/>
          <w:sz w:val="22"/>
        </w:rPr>
        <w:t>Партнери са којима су пословни субјекти имали уговорену сарадњу на иновацијама</w:t>
      </w:r>
    </w:p>
    <w:p>
      <w:pPr>
        <w:pStyle w:val="P12"/>
        <w:spacing w:after="0"/>
        <w:ind w:firstLine="397"/>
        <w:jc w:val="both"/>
      </w:pPr>
      <w:r>
        <w:rPr>
          <w:b w:val="0"/>
        </w:rPr>
        <w:t>Пословни субјекти који имају уговорену сарадњу на иновацијама са др</w:t>
      </w:r>
      <w:r>
        <w:rPr>
          <w:b w:val="0"/>
        </w:rPr>
        <w:t>угим субјектима и институцијама</w:t>
      </w:r>
      <w:r>
        <w:rPr>
          <w:b w:val="0"/>
        </w:rPr>
        <w:t xml:space="preserve"> као најчешћег партнера на иновацијама навели су </w:t>
      </w:r>
      <w:r>
        <w:rPr>
          <w:b w:val="0"/>
        </w:rPr>
        <w:t>друге пословне субјекте унутар групе</w:t>
      </w:r>
      <w:r>
        <w:rPr>
          <w:b w:val="0"/>
        </w:rPr>
        <w:t xml:space="preserve"> – </w:t>
      </w:r>
      <w:r>
        <w:rPr>
          <w:b w:val="0"/>
        </w:rPr>
        <w:t>око</w:t>
      </w:r>
      <w:r>
        <w:rPr>
          <w:b w:val="0"/>
        </w:rPr>
        <w:t xml:space="preserve"> </w:t>
      </w:r>
      <w:r>
        <w:rPr>
          <w:b w:val="0"/>
        </w:rPr>
        <w:t>7</w:t>
      </w:r>
      <w:r>
        <w:rPr>
          <w:b w:val="0"/>
        </w:rPr>
        <w:t>0%</w:t>
      </w:r>
      <w:r>
        <w:rPr>
          <w:b w:val="0"/>
        </w:rPr>
        <w:t>.</w:t>
      </w:r>
      <w:r>
        <w:rPr>
          <w:b w:val="0"/>
        </w:rPr>
        <w:t xml:space="preserve"> </w:t>
      </w:r>
    </w:p>
    <w:p>
      <w:pPr>
        <w:spacing w:before="480" w:after="240"/>
        <w:rPr>
          <w:b w:val="0"/>
          <w:sz w:val="22"/>
        </w:rPr>
      </w:pPr>
      <w:r>
        <w:rPr>
          <w:b w:val="1"/>
          <w:sz w:val="22"/>
        </w:rPr>
        <w:t xml:space="preserve">7. </w:t>
      </w:r>
      <w:r>
        <w:rPr>
          <w:b w:val="1"/>
          <w:sz w:val="22"/>
        </w:rPr>
        <w:t>Издаци за иновативне активности</w:t>
      </w:r>
    </w:p>
    <w:p>
      <w:pPr>
        <w:spacing w:before="120"/>
        <w:ind w:firstLine="397"/>
        <w:jc w:val="both"/>
      </w:pPr>
      <w:r>
        <w:t>Издаци за иновативне активности укључују издатке за развој нових производа, издатке за увођење новог производа на тржиште, издатке усмерене на значајно усавршавање постојећих производа, услуга или процеса, као и издатке за још недовршене иновационе пројекте. Издаци за иновативне активности обухватају текуће издатке (плате, опрема, материјал, услуге и сл.), као и инвестиционе издатке.</w:t>
      </w:r>
    </w:p>
    <w:p>
      <w:pPr>
        <w:spacing w:before="120"/>
        <w:ind w:firstLine="397"/>
        <w:jc w:val="both"/>
      </w:pPr>
      <w:r>
        <w:t>У укупним издацима за иновативне активности пословних субјеката највеће је учешће за набавку машина, опреме и софтвера, око 80%.</w:t>
      </w:r>
    </w:p>
    <w:p>
      <w:pPr>
        <w:jc w:val="center"/>
        <w:rPr>
          <w:b w:val="0"/>
        </w:rPr>
      </w:pPr>
    </w:p>
    <w:p>
      <w:pPr>
        <w:jc w:val="center"/>
        <w:rPr>
          <w:b w:val="0"/>
        </w:rPr>
      </w:pPr>
    </w:p>
    <w:p>
      <w:pPr>
        <w:pStyle w:val="P12"/>
      </w:pPr>
      <w:r>
        <w:drawing>
          <wp:inline xmlns:wp="http://schemas.openxmlformats.org/drawingml/2006/wordprocessingDrawing">
            <wp:extent cx="5828665" cy="269494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2694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2"/>
        <w:spacing w:before="480"/>
        <w:jc w:val="left"/>
        <w:rPr>
          <w:sz w:val="22"/>
        </w:rPr>
      </w:pPr>
      <w:r>
        <w:rPr>
          <w:sz w:val="22"/>
        </w:rPr>
        <w:t>8. Набавке и иновације у јавном сектору</w:t>
      </w:r>
    </w:p>
    <w:p>
      <w:pPr>
        <w:pStyle w:val="P12"/>
        <w:spacing w:after="0"/>
        <w:ind w:firstLine="397"/>
        <w:jc w:val="both"/>
        <w:rPr>
          <w:b w:val="0"/>
        </w:rPr>
      </w:pPr>
      <w:r>
        <w:rPr>
          <w:b w:val="0"/>
        </w:rPr>
        <w:t>Уговоре са јавним сектором имало је 27% пословних субјеката</w:t>
      </w:r>
      <w:r>
        <w:rPr>
          <w:b w:val="0"/>
        </w:rPr>
        <w:t xml:space="preserve">, </w:t>
      </w:r>
      <w:r>
        <w:rPr>
          <w:b w:val="0"/>
        </w:rPr>
        <w:t>већина</w:t>
      </w:r>
      <w:r>
        <w:rPr>
          <w:b w:val="0"/>
        </w:rPr>
        <w:t xml:space="preserve"> њих</w:t>
      </w:r>
      <w:r>
        <w:rPr>
          <w:b w:val="0"/>
        </w:rPr>
        <w:t xml:space="preserve"> </w:t>
      </w:r>
      <w:r>
        <w:rPr>
          <w:b w:val="0"/>
        </w:rPr>
        <w:t xml:space="preserve">је имала уговоре </w:t>
      </w:r>
      <w:r>
        <w:rPr>
          <w:b w:val="0"/>
        </w:rPr>
        <w:t>са јавним сектор</w:t>
      </w:r>
      <w:r>
        <w:rPr>
          <w:b w:val="0"/>
        </w:rPr>
        <w:t>ом у земљи (</w:t>
      </w:r>
      <w:r>
        <w:rPr>
          <w:b w:val="0"/>
        </w:rPr>
        <w:t>88%</w:t>
      </w:r>
      <w:r>
        <w:rPr>
          <w:b w:val="0"/>
        </w:rPr>
        <w:t>),</w:t>
      </w:r>
      <w:r>
        <w:rPr>
          <w:b w:val="0"/>
        </w:rPr>
        <w:t xml:space="preserve"> а 12% са јавним сектором у иностранству. </w:t>
      </w:r>
      <w:r>
        <w:rPr>
          <w:b w:val="0"/>
        </w:rPr>
        <w:t>Истовремено</w:t>
      </w:r>
      <w:r>
        <w:rPr>
          <w:b w:val="0"/>
        </w:rPr>
        <w:t>,</w:t>
      </w:r>
      <w:r>
        <w:rPr>
          <w:b w:val="0"/>
        </w:rPr>
        <w:t xml:space="preserve"> уговор са јавним </w:t>
      </w:r>
      <w:r>
        <w:rPr>
          <w:b w:val="0"/>
        </w:rPr>
        <w:t>сектором у земљи и иностранству</w:t>
      </w:r>
      <w:r>
        <w:rPr>
          <w:b w:val="0"/>
        </w:rPr>
        <w:t xml:space="preserve"> имало је о</w:t>
      </w:r>
      <w:r>
        <w:rPr>
          <w:b w:val="0"/>
        </w:rPr>
        <w:t>ко 3% пословних субјеката</w:t>
      </w:r>
      <w:r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</w:rPr>
        <w:t>О</w:t>
      </w:r>
      <w:r>
        <w:rPr>
          <w:b w:val="0"/>
        </w:rPr>
        <w:t>ко 7% пословних</w:t>
      </w:r>
      <w:r>
        <w:rPr>
          <w:b w:val="0"/>
        </w:rPr>
        <w:t xml:space="preserve"> </w:t>
      </w:r>
      <w:r>
        <w:rPr>
          <w:b w:val="0"/>
        </w:rPr>
        <w:t xml:space="preserve">субјеката  </w:t>
      </w:r>
      <w:r>
        <w:rPr>
          <w:b w:val="0"/>
        </w:rPr>
        <w:t>уве</w:t>
      </w:r>
      <w:r>
        <w:rPr>
          <w:b w:val="0"/>
        </w:rPr>
        <w:t>ло је иновације које су биле уговорна обавеза.</w:t>
      </w:r>
    </w:p>
    <w:p>
      <w:pPr>
        <w:spacing w:before="480" w:after="240"/>
        <w:rPr>
          <w:b w:val="0"/>
          <w:sz w:val="22"/>
        </w:rPr>
      </w:pPr>
    </w:p>
    <w:p>
      <w:pPr>
        <w:spacing w:before="480" w:after="240"/>
        <w:rPr>
          <w:sz w:val="22"/>
        </w:rPr>
      </w:pPr>
      <w:r>
        <w:rPr>
          <w:b w:val="1"/>
          <w:sz w:val="22"/>
        </w:rPr>
        <w:t>9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З</w:t>
      </w:r>
      <w:r>
        <w:rPr>
          <w:b w:val="1"/>
          <w:sz w:val="22"/>
        </w:rPr>
        <w:t>начај</w:t>
      </w:r>
      <w:r>
        <w:rPr>
          <w:b w:val="1"/>
          <w:sz w:val="22"/>
        </w:rPr>
        <w:t xml:space="preserve"> циљева</w:t>
      </w:r>
      <w:r>
        <w:rPr>
          <w:b w:val="1"/>
          <w:sz w:val="22"/>
        </w:rPr>
        <w:t xml:space="preserve"> пословних субјеката</w:t>
      </w:r>
      <w:r>
        <w:rPr>
          <w:b w:val="1"/>
          <w:sz w:val="22"/>
        </w:rPr>
        <w:t xml:space="preserve"> у периоду 2010</w:t>
      </w:r>
      <w:r>
        <w:rPr>
          <w:b w:val="1"/>
          <w:sz w:val="22"/>
        </w:rPr>
        <w:t>–</w:t>
      </w:r>
      <w:r>
        <w:rPr>
          <w:b w:val="1"/>
          <w:sz w:val="22"/>
        </w:rPr>
        <w:t>2012.</w:t>
      </w:r>
    </w:p>
    <w:p>
      <w:pPr>
        <w:spacing w:before="120"/>
        <w:ind w:firstLine="397"/>
        <w:jc w:val="both"/>
      </w:pPr>
      <w:r>
        <w:t xml:space="preserve">Сви оцењивани циљеви имали су велики значај за већину пословних субјеката, а најзначајнији су  повећање прихода и смањење трошкова. </w:t>
      </w:r>
    </w:p>
    <w:p>
      <w:pPr>
        <w:rPr>
          <w:b w:val="0"/>
          <w:sz w:val="2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Циљеви</w:t>
            </w:r>
          </w:p>
        </w:tc>
        <w:tc>
          <w:tcPr>
            <w:tcW w:w="102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Значај циљева (%)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занемарљив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Повећање прихода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55,8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Пораст удела на тржишту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Смањење трошкова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24,9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Повећање профитне стопе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38,3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31,7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102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</w:tr>
    </w:tbl>
    <w:p>
      <w:pPr>
        <w:spacing w:before="480" w:after="240"/>
        <w:rPr>
          <w:b w:val="0"/>
          <w:sz w:val="22"/>
        </w:rPr>
      </w:pPr>
      <w:r>
        <w:rPr>
          <w:b w:val="1"/>
          <w:sz w:val="22"/>
        </w:rPr>
        <w:t>10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Значај стратегија за постизање циљева пословних субјеката</w:t>
      </w:r>
      <w:r>
        <w:rPr>
          <w:b w:val="1"/>
          <w:sz w:val="22"/>
        </w:rPr>
        <w:t xml:space="preserve"> у периоду 2010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2012. </w:t>
      </w:r>
    </w:p>
    <w:p>
      <w:pPr>
        <w:spacing w:before="120"/>
        <w:ind w:firstLine="397"/>
        <w:jc w:val="both"/>
      </w:pPr>
      <w:r>
        <w:t>У већини пословних субјеката најзначајније су стратегије смањења трошкова набавке и интерних трошкова, затим продор на нова тржишта и пораст удела на постојећим тржиштима, као и повећање флексибилности на тржишне захтеве. Занемарљив је значај развоја нових тржишта ван Европе и у Европи, као и стварање савеза са другим субјектима и институцијама.</w:t>
      </w:r>
    </w:p>
    <w:p>
      <w:pPr>
        <w:ind w:firstLine="397"/>
        <w:jc w:val="both"/>
      </w:pPr>
    </w:p>
    <w:p>
      <w:pPr>
        <w:ind w:firstLine="397"/>
        <w:jc w:val="both"/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10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Значај стратегија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Значај циљева (%)</w:t>
            </w:r>
          </w:p>
        </w:tc>
      </w:tr>
      <w:tr>
        <w:trPr>
          <w:wAfter w:w="0" w:type="dxa"/>
        </w:trPr>
        <w:tc>
          <w:tcPr>
            <w:tcW w:w="510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занемарљив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Развој нових тржишта у Европи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tabs>
                <w:tab w:val="left" w:pos="520" w:leader="none"/>
              </w:tabs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17,4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50,6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Развој нових тржишта ван Европе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59,9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Смањење интерних трошкова рада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33,5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33,8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Смањење трошкова набавке материјала, делова или услуге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37,8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31,6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Увођење нових или знатно унапређених производа или услуга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25,1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Повећање или побољшање маркетинга за производе или услуге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19,6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20,8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23,9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Повећање флексибилности / прилагођавање захтевима тржишта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31,1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Продор на нова тржишта и пораст удела на тржишту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23,7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Стварање савеза са другим субјектима или институцијама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</w:tr>
    </w:tbl>
    <w:p>
      <w:pPr>
        <w:spacing w:before="480" w:after="240"/>
        <w:rPr>
          <w:b w:val="0"/>
          <w:sz w:val="22"/>
        </w:rPr>
      </w:pPr>
      <w:r>
        <w:rPr>
          <w:b w:val="1"/>
          <w:sz w:val="22"/>
        </w:rPr>
        <w:t>11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П</w:t>
      </w:r>
      <w:r>
        <w:rPr>
          <w:b w:val="1"/>
          <w:sz w:val="22"/>
        </w:rPr>
        <w:t>репреке</w:t>
      </w:r>
      <w:r>
        <w:rPr>
          <w:b w:val="1"/>
          <w:sz w:val="22"/>
        </w:rPr>
        <w:t xml:space="preserve"> у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оствари</w:t>
      </w:r>
      <w:r>
        <w:rPr>
          <w:b w:val="1"/>
          <w:sz w:val="22"/>
        </w:rPr>
        <w:t>вањ</w:t>
      </w:r>
      <w:r>
        <w:rPr>
          <w:b w:val="1"/>
          <w:sz w:val="22"/>
        </w:rPr>
        <w:t>у</w:t>
      </w:r>
      <w:r>
        <w:rPr>
          <w:b w:val="1"/>
          <w:sz w:val="22"/>
        </w:rPr>
        <w:t xml:space="preserve"> циљева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пословних субјеката</w:t>
      </w:r>
      <w:r>
        <w:rPr>
          <w:b w:val="1"/>
          <w:sz w:val="22"/>
        </w:rPr>
        <w:t xml:space="preserve"> у периоду 2010–</w:t>
      </w:r>
      <w:r>
        <w:rPr>
          <w:b w:val="1"/>
          <w:sz w:val="22"/>
        </w:rPr>
        <w:t>2012.</w:t>
      </w:r>
    </w:p>
    <w:p>
      <w:pPr>
        <w:spacing w:before="120"/>
        <w:ind w:firstLine="397"/>
        <w:jc w:val="both"/>
      </w:pPr>
      <w:r>
        <w:t>Пословни субјекти су оценили факторе трошкова као највећу сметњу у постизању циљева. Највећу сметњу представљају високи трошкови административне и законске регулативе. Од тржишних фактора, ценовна конкуренција и неизвесна тражња значајно утичу на постизање циљева, док иновације конкурената најмање ометају испуњење циљева. Недостатак стручних кадрова има занемарљив утицај.</w:t>
      </w:r>
    </w:p>
    <w:p>
      <w:pPr>
        <w:spacing w:before="120"/>
        <w:ind w:firstLine="397"/>
        <w:jc w:val="both"/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103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Фактори/препреке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Значај циљева (%)</w:t>
            </w:r>
          </w:p>
        </w:tc>
      </w:tr>
      <w:tr>
        <w:trPr>
          <w:wAfter w:w="0" w:type="dxa"/>
        </w:trPr>
        <w:tc>
          <w:tcPr>
            <w:tcW w:w="5103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велики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мали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занемарљив</w:t>
            </w:r>
          </w:p>
        </w:tc>
      </w:tr>
      <w:tr>
        <w:trPr>
          <w:wAfter w:w="0" w:type="dxa"/>
          <w:trHeight w:hRule="atLeast" w:val="60"/>
        </w:trPr>
        <w:tc>
          <w:tcPr>
            <w:tcW w:w="1400" w:type="dxa"/>
            <w:tcBorders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60"/>
        </w:trPr>
        <w:tc>
          <w:tcPr>
            <w:tcW w:w="1400" w:type="dxa"/>
            <w:vMerge w:val="restart"/>
            <w:tcBorders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Тржишни</w:t>
              <w:br w:type="textWrapping"/>
              <w:t>фактори</w:t>
            </w: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 xml:space="preserve">Јака ценовна конкуренција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37,9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34,1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</w:tr>
      <w:tr>
        <w:trPr>
          <w:wAfter w:w="0" w:type="dxa"/>
        </w:trPr>
        <w:tc>
          <w:tcPr>
            <w:tcW w:w="1400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Јака конкуренција у квалитету, популарности и бренду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35,4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24,1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18,9</w:t>
            </w:r>
          </w:p>
        </w:tc>
      </w:tr>
      <w:tr>
        <w:trPr>
          <w:wAfter w:w="0" w:type="dxa"/>
        </w:trPr>
        <w:tc>
          <w:tcPr>
            <w:tcW w:w="1400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Неизвесна тражња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37,4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15,8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</w:tr>
      <w:tr>
        <w:trPr>
          <w:wAfter w:w="0" w:type="dxa"/>
        </w:trPr>
        <w:tc>
          <w:tcPr>
            <w:tcW w:w="1400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Иновације конкурената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</w:tr>
      <w:tr>
        <w:trPr>
          <w:wAfter w:w="0" w:type="dxa"/>
        </w:trPr>
        <w:tc>
          <w:tcPr>
            <w:tcW w:w="1400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Доминантан удео конкурената на тржишту</w:t>
            </w:r>
          </w:p>
        </w:tc>
        <w:tc>
          <w:tcPr>
            <w:tcW w:w="1134" w:type="dxa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1134" w:type="dxa"/>
            <w:tcBorders>
              <w:bottom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38,6</w:t>
            </w:r>
          </w:p>
        </w:tc>
        <w:tc>
          <w:tcPr>
            <w:tcW w:w="1134" w:type="dxa"/>
            <w:tcBorders>
              <w:bottom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1134" w:type="dxa"/>
            <w:tcBorders>
              <w:bottom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</w:tr>
      <w:tr>
        <w:trPr>
          <w:wAfter w:w="0" w:type="dxa"/>
        </w:trPr>
        <w:tc>
          <w:tcPr>
            <w:tcW w:w="1400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Фактори знања</w:t>
            </w:r>
          </w:p>
        </w:tc>
        <w:tc>
          <w:tcPr>
            <w:tcW w:w="37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ind w:left="57"/>
              <w:rPr>
                <w:sz w:val="16"/>
              </w:rPr>
            </w:pPr>
            <w:r>
              <w:rPr>
                <w:sz w:val="16"/>
              </w:rPr>
              <w:t>Недостатак стручних кадрова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  <w:tc>
          <w:tcPr>
            <w:tcW w:w="1134" w:type="dxa"/>
            <w:tcBorders>
              <w:top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1134" w:type="dxa"/>
            <w:tcBorders>
              <w:top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29,9</w:t>
            </w:r>
          </w:p>
        </w:tc>
      </w:tr>
      <w:tr>
        <w:trPr>
          <w:wAfter w:w="0" w:type="dxa"/>
        </w:trPr>
        <w:tc>
          <w:tcPr>
            <w:tcW w:w="1400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Фактори</w:t>
              <w:br w:type="textWrapping"/>
              <w:t>трошкова</w:t>
            </w:r>
          </w:p>
        </w:tc>
        <w:tc>
          <w:tcPr>
            <w:tcW w:w="3703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Недостатак адекватног финансирања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</w:tr>
      <w:tr>
        <w:trPr>
          <w:wAfter w:w="0" w:type="dxa"/>
        </w:trPr>
        <w:tc>
          <w:tcPr>
            <w:tcW w:w="1400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Високи трошкови уласка на нова тржишта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35,5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</w:tr>
      <w:tr>
        <w:trPr>
          <w:wAfter w:w="0" w:type="dxa"/>
        </w:trPr>
        <w:tc>
          <w:tcPr>
            <w:tcW w:w="1400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70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57"/>
              <w:rPr>
                <w:sz w:val="16"/>
              </w:rPr>
            </w:pPr>
            <w:r>
              <w:rPr>
                <w:sz w:val="16"/>
              </w:rPr>
              <w:t>Високи трошкови административне и законске регулативе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34,8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1134" w:type="dxa"/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</w:tr>
    </w:tbl>
    <w:p>
      <w:pPr>
        <w:pStyle w:val="P12"/>
        <w:jc w:val="both"/>
        <w:rPr>
          <w:sz w:val="22"/>
        </w:rPr>
      </w:pPr>
    </w:p>
    <w:p>
      <w:pPr>
        <w:pStyle w:val="P12"/>
        <w:jc w:val="both"/>
        <w:rPr>
          <w:sz w:val="22"/>
        </w:rPr>
      </w:pPr>
    </w:p>
    <w:p>
      <w:pPr>
        <w:pStyle w:val="P12"/>
        <w:jc w:val="both"/>
        <w:rPr>
          <w:sz w:val="22"/>
        </w:rPr>
      </w:pPr>
    </w:p>
    <w:p>
      <w:pPr>
        <w:pStyle w:val="P12"/>
        <w:jc w:val="both"/>
        <w:rPr>
          <w:sz w:val="22"/>
        </w:rPr>
      </w:pPr>
    </w:p>
    <w:p>
      <w:pPr>
        <w:pStyle w:val="P12"/>
        <w:rPr>
          <w:sz w:val="22"/>
        </w:rPr>
      </w:pPr>
      <w:r>
        <w:rPr>
          <w:sz w:val="22"/>
        </w:rPr>
        <w:t>Методолошке напомене</w:t>
      </w:r>
    </w:p>
    <w:p>
      <w:pPr>
        <w:spacing w:before="120"/>
        <w:ind w:firstLine="397"/>
        <w:jc w:val="both"/>
      </w:pPr>
      <w:r>
        <w:t xml:space="preserve">Истраживање о иновативности пословних субјеката спроведено је на основу репрезентативног узорка. Узорак је алоциран на подручју Републике Србије до нивоа региона, пропорционално броју пословних субјеката. Величина узорка је </w:t>
      </w:r>
      <w:r>
        <w:rPr>
          <w:b w:val="1"/>
        </w:rPr>
        <w:t>3500</w:t>
      </w:r>
      <w:r>
        <w:t xml:space="preserve"> малих, средњих и великих пословних субјеката. Велики пословни субјекти су обухваћени у целини. Оквир за избор узорка су активни пословни субјекти добијени из Статистичког пословног регистра, који садржи 11841 пословни субјекат са 10 и више запослених. Добијени резултати су пондерисани и израчунати на нивоу популације пословних субјеката.</w:t>
      </w:r>
    </w:p>
    <w:p>
      <w:pPr>
        <w:spacing w:before="120"/>
        <w:ind w:firstLine="397"/>
        <w:jc w:val="both"/>
      </w:pPr>
      <w:r>
        <w:t xml:space="preserve">Анкета о пословним субјектима спроведена је на узорку стратификованом према величини пословног субјекта (мали: од 10 до 49 запослених, средњи: од 50 до 249 запослених и велики: преко 250 запослених) и према делатностима (групе делатности према КД 08). Реализација узорка је преко 77%, око 3% изабраних пословних субјеката било је у блокади или стечају, око 20% пословних субјеката није одговорило на анкету. </w:t>
      </w:r>
    </w:p>
    <w:p>
      <w:pPr>
        <w:spacing w:before="120"/>
        <w:ind w:firstLine="397"/>
        <w:jc w:val="both"/>
      </w:pPr>
      <w:r>
        <w:t xml:space="preserve">Одговори су прикупљени веб-упитником (37%), путем мејла (12%) и штампаним упитником, који је дистрибуиран и прикупљен поштом (51%). </w:t>
      </w:r>
    </w:p>
    <w:p/>
    <w:p/>
    <w:p/>
    <w:p/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37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</w:t>
            </w:r>
            <w:r>
              <w:t xml:space="preserve"> </w:t>
            </w:r>
            <w:r>
              <w:fldChar w:fldCharType="begin"/>
            </w:r>
            <w:r>
              <w:rPr>
                <w:sz w:val="18"/>
              </w:rPr>
              <w:instrText xml:space="preserve"> HYPERLINK "mailto:suncica.stefanovic@stat.gov.rs"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  <w:u w:val="none"/>
              </w:rPr>
              <w:t>suncica.stefanovic@stat.gov.rs</w:t>
            </w:r>
            <w:r>
              <w:rPr>
                <w:rStyle w:val="C2"/>
                <w:sz w:val="18"/>
                <w:u w:val="none"/>
              </w:rPr>
              <w:fldChar w:fldCharType="end"/>
            </w:r>
            <w:r>
              <w:rPr>
                <w:sz w:val="18"/>
              </w:rPr>
              <w:t xml:space="preserve"> ;</w:t>
            </w:r>
            <w:r>
              <w:t xml:space="preserve"> </w:t>
            </w:r>
            <w:r>
              <w:fldChar w:fldCharType="begin"/>
            </w:r>
            <w:r>
              <w:rPr>
                <w:sz w:val="18"/>
              </w:rPr>
              <w:instrText xml:space="preserve"> HYPERLINK "mailto:paun.cukavac@stat.gov.rs"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  <w:u w:val="none"/>
              </w:rPr>
              <w:t>paun.cukavac@stat.gov.rs</w:t>
            </w:r>
            <w:r>
              <w:rPr>
                <w:rStyle w:val="C2"/>
                <w:sz w:val="18"/>
                <w:u w:val="none"/>
              </w:rPr>
              <w:fldChar w:fldCharType="end"/>
            </w:r>
            <w:r>
              <w:rPr>
                <w:sz w:val="18"/>
              </w:rPr>
              <w:t xml:space="preserve">   тел: 011 2412-922 локал 357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двогодишња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СРБ285 ИА01 281113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СРБ285 ИА01 281113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6213C9E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011D92B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7399615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7A283C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468C585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118B791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62A31C5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E48D8DA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3016F0DE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1D601F12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FA6614D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42589B0A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5360732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4AF0762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77643D2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5E89F3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E08075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1D7442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736CFD0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050A43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BA4E23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15FAE1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3BC236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901A7B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4F325CA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DCBD57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B7A6E5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4C1DB18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3AFC45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66A874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BCC7D06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16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9C5C58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8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qFormat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qFormat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tabs>
        <w:tab w:val="left" w:pos="360" w:leader="none"/>
      </w:tabs>
      <w:ind w:hanging="360" w:left="360"/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tabs>
        <w:tab w:val="left" w:pos="284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 Char Char Char Char Char1 Char"/>
    <w:basedOn w:val="P0"/>
    <w:next w:val="P36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b w:val="1"/>
      <w:color w:val="000000"/>
      <w:sz w:val="24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2013-11-26T08:23:00Z</dcterms:created>
  <cp:lastModifiedBy>Nikola Kapetanovic</cp:lastModifiedBy>
  <cp:lastPrinted>2013-11-25T13:31:00Z</cp:lastPrinted>
  <dcterms:modified xsi:type="dcterms:W3CDTF">2020-01-10T11:17:22Z</dcterms:modified>
  <cp:revision>23</cp:revision>
  <dc:title>                  </dc:title>
</cp:coreProperties>
</file>