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5951EA" Type="http://schemas.openxmlformats.org/officeDocument/2006/relationships/officeDocument" Target="/word/document.xml" /><Relationship Id="coreR6B5951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ПМ11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259 - год. LXIII, 13.09.2013.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промета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СРБ259 ПМ11 130913</w:t>
            </w:r>
          </w:p>
        </w:tc>
      </w:tr>
    </w:tbl>
    <w:p>
      <w:pPr>
        <w:pStyle w:val="P8"/>
        <w:spacing w:before="480"/>
        <w:rPr>
          <w:sz w:val="24"/>
        </w:rPr>
      </w:pPr>
      <w:r>
        <w:rPr>
          <w:sz w:val="24"/>
        </w:rPr>
        <w:t>Унутрашња трговинa у Републици Србији</w:t>
      </w:r>
    </w:p>
    <w:p>
      <w:pPr>
        <w:tabs>
          <w:tab w:val="left" w:pos="3456" w:leader="none"/>
        </w:tabs>
        <w:spacing w:before="120" w:after="360"/>
        <w:jc w:val="center"/>
        <w:rPr>
          <w:b w:val="1"/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I</w:t>
      </w:r>
      <w:r>
        <w:rPr>
          <w:b w:val="1"/>
          <w:sz w:val="22"/>
        </w:rPr>
        <w:t>I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тромесечје 201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. године </w:t>
      </w:r>
      <w:r>
        <w:rPr>
          <w:b w:val="1"/>
          <w:sz w:val="22"/>
        </w:rPr>
        <w:t>–</w:t>
      </w:r>
    </w:p>
    <w:p>
      <w:pPr>
        <w:spacing w:before="120" w:after="120"/>
        <w:ind w:firstLine="397"/>
        <w:jc w:val="both"/>
        <w:rPr>
          <w:sz w:val="18"/>
        </w:rPr>
      </w:pPr>
      <w:r>
        <w:rPr>
          <w:sz w:val="18"/>
        </w:rPr>
        <w:t>Промет робе у трговини на велико и мало и поправка моторних возила (област 45 КД) у Републици Србији у другом тромесечју 2013. године, у односу на исти период претходне године, бележи пад у текућим ценама од 4,1%. Поредећи исти период, промет у Републици Србији код трговине на велико (област 46 КД) бележи пад у текућим ценама од 3,5%, а у трговини на мало (област 47 КД) раст од 2,1%.</w:t>
      </w:r>
    </w:p>
    <w:p>
      <w:pPr>
        <w:spacing w:before="120" w:after="120"/>
        <w:ind w:firstLine="397"/>
        <w:jc w:val="both"/>
        <w:rPr>
          <w:sz w:val="18"/>
        </w:rPr>
      </w:pPr>
      <w:r>
        <w:rPr>
          <w:sz w:val="18"/>
        </w:rPr>
        <w:t>У структури трговинског промета највеће учешће су оствариле следеће робне групе: у области 45 КД - моторна возила (46,4%), у области 46 КД - прехрамбени производи, пића и дуван (26,7%), а у области 47 КД - прехрамбени производи и алкохолна пића (34,2%).</w:t>
      </w:r>
    </w:p>
    <w:p>
      <w:pPr>
        <w:spacing w:lineRule="auto" w:line="264" w:before="300" w:after="60"/>
        <w:rPr>
          <w:b w:val="1"/>
        </w:rPr>
      </w:pPr>
      <w:r>
        <w:rPr>
          <w:b w:val="1"/>
        </w:rPr>
        <w:t>1</w:t>
      </w:r>
      <w:r>
        <w:rPr>
          <w:b w:val="1"/>
        </w:rPr>
        <w:t xml:space="preserve">. </w:t>
      </w:r>
      <w:r>
        <w:rPr>
          <w:b w:val="1"/>
        </w:rPr>
        <w:t>Индекси промета у</w:t>
      </w:r>
      <w:r>
        <w:rPr>
          <w:b w:val="1"/>
        </w:rPr>
        <w:t>нутрашњ</w:t>
      </w:r>
      <w:r>
        <w:rPr>
          <w:b w:val="1"/>
        </w:rPr>
        <w:t>е</w:t>
      </w:r>
      <w:r>
        <w:rPr>
          <w:b w:val="1"/>
        </w:rPr>
        <w:t xml:space="preserve"> трговин</w:t>
      </w:r>
      <w:r>
        <w:rPr>
          <w:b w:val="1"/>
        </w:rPr>
        <w:t>е</w:t>
      </w:r>
      <w:r>
        <w:rPr>
          <w:b w:val="1"/>
        </w:rPr>
        <w:t xml:space="preserve"> по обл</w:t>
      </w:r>
      <w:r>
        <w:rPr>
          <w:b w:val="1"/>
        </w:rPr>
        <w:t>астима К</w:t>
      </w:r>
      <w:r>
        <w:rPr>
          <w:b w:val="1"/>
        </w:rPr>
        <w:t>ласификације делатности</w:t>
      </w:r>
      <w:r>
        <w:rPr>
          <w:b w:val="1"/>
        </w:rPr>
        <w:t>, текуће цене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5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II  2013</w:t>
            </w:r>
          </w:p>
          <w:p>
            <w:pPr>
              <w:spacing w:lineRule="auto" w:line="264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  2012</w:t>
            </w: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II  2013</w:t>
            </w:r>
          </w:p>
          <w:p>
            <w:pPr>
              <w:spacing w:lineRule="auto" w:line="264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 2013</w:t>
            </w: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II  2013</w:t>
            </w:r>
          </w:p>
          <w:p>
            <w:pPr>
              <w:spacing w:lineRule="auto" w:line="264" w:after="60"/>
              <w:jc w:val="center"/>
              <w:rPr>
                <w:sz w:val="16"/>
              </w:rPr>
            </w:pPr>
            <w:r>
              <w:rPr>
                <w:sz w:val="16"/>
              </w:rPr>
              <w:t>Ø 2012</w:t>
            </w: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 - II  2013</w:t>
            </w:r>
          </w:p>
          <w:p>
            <w:pPr>
              <w:spacing w:lineRule="auto" w:line="264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- II  2012</w:t>
            </w:r>
          </w:p>
        </w:tc>
      </w:tr>
      <w:tr>
        <w:trPr>
          <w:wAfter w:w="0" w:type="dxa"/>
        </w:trPr>
        <w:tc>
          <w:tcPr>
            <w:tcW w:w="10208" w:type="dxa"/>
            <w:gridSpan w:val="5"/>
            <w:tcBorders>
              <w:top w:val="single" w:sz="4" w:space="0" w:shadow="0" w:frame="0"/>
            </w:tcBorders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Трговина на велико и мало и поправка моторних возила (област 45 КД)</w:t>
            </w:r>
          </w:p>
        </w:tc>
      </w:tr>
      <w:tr>
        <w:trPr>
          <w:wAfter w:w="0" w:type="dxa"/>
          <w:trHeight w:hRule="exac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95,9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127,5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103,0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96,7</w:t>
            </w:r>
          </w:p>
        </w:tc>
      </w:tr>
      <w:tr>
        <w:trPr>
          <w:wAfter w:w="0" w:type="dxa"/>
          <w:trHeight w:hRule="exac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  <w:u w:val="single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131,6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106,2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97,6</w:t>
            </w:r>
          </w:p>
        </w:tc>
      </w:tr>
      <w:tr>
        <w:trPr>
          <w:wAfter w:w="0" w:type="dxa"/>
          <w:trHeight w:hRule="exac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85,7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113,8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92,4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93,6</w:t>
            </w:r>
          </w:p>
        </w:tc>
      </w:tr>
      <w:tr>
        <w:trPr>
          <w:wAfter w:w="0" w:type="dxa"/>
        </w:trPr>
        <w:tc>
          <w:tcPr>
            <w:tcW w:w="10208" w:type="dxa"/>
            <w:gridSpan w:val="5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Трговина на велико, осим трговине моторним возилима (област 46 КД)</w:t>
            </w:r>
          </w:p>
        </w:tc>
      </w:tr>
      <w:tr>
        <w:trPr>
          <w:wAfter w:w="0" w:type="dxa"/>
          <w:trHeight w:hRule="atLeas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96,5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107,8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97,7</w:t>
            </w:r>
          </w:p>
        </w:tc>
        <w:tc>
          <w:tcPr>
            <w:tcW w:w="191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100,8</w:t>
            </w:r>
          </w:p>
        </w:tc>
      </w:tr>
      <w:tr>
        <w:trPr>
          <w:wAfter w:w="0" w:type="dxa"/>
          <w:trHeight w:hRule="atLeas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  <w:u w:val="single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96,4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109,0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97,5</w:t>
            </w:r>
          </w:p>
        </w:tc>
        <w:tc>
          <w:tcPr>
            <w:tcW w:w="191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100,6</w:t>
            </w:r>
          </w:p>
        </w:tc>
      </w:tr>
      <w:tr>
        <w:trPr>
          <w:wAfter w:w="0" w:type="dxa"/>
          <w:trHeight w:hRule="atLeas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97,4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101,9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99,1</w:t>
            </w:r>
          </w:p>
        </w:tc>
        <w:tc>
          <w:tcPr>
            <w:tcW w:w="191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101,9</w:t>
            </w:r>
          </w:p>
        </w:tc>
      </w:tr>
      <w:tr>
        <w:trPr>
          <w:wAfter w:w="0" w:type="dxa"/>
        </w:trPr>
        <w:tc>
          <w:tcPr>
            <w:tcW w:w="10208" w:type="dxa"/>
            <w:gridSpan w:val="5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Трговина на мало, осим трговине моторним возилима (област 47 КД)</w:t>
            </w:r>
          </w:p>
        </w:tc>
      </w:tr>
      <w:tr>
        <w:trPr>
          <w:wAfter w:w="0" w:type="dxa"/>
          <w:trHeight w:hRule="exac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102,1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117,0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102,3</w:t>
            </w:r>
          </w:p>
        </w:tc>
        <w:tc>
          <w:tcPr>
            <w:tcW w:w="191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100,8</w:t>
            </w:r>
          </w:p>
        </w:tc>
      </w:tr>
      <w:tr>
        <w:trPr>
          <w:wAfter w:w="0" w:type="dxa"/>
          <w:trHeight w:hRule="exac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  <w:u w:val="single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102,0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115,3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  <w:tc>
          <w:tcPr>
            <w:tcW w:w="191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99,8</w:t>
            </w:r>
          </w:p>
        </w:tc>
      </w:tr>
      <w:tr>
        <w:trPr>
          <w:wAfter w:w="0" w:type="dxa"/>
          <w:trHeight w:hRule="exact" w:val="216"/>
        </w:trPr>
        <w:tc>
          <w:tcPr>
            <w:tcW w:w="2552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191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102,3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120,0</w:t>
            </w:r>
          </w:p>
        </w:tc>
        <w:tc>
          <w:tcPr>
            <w:tcW w:w="1914" w:type="dxa"/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103,3</w:t>
            </w:r>
          </w:p>
        </w:tc>
        <w:tc>
          <w:tcPr>
            <w:tcW w:w="191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648"/>
              <w:jc w:val="right"/>
              <w:rPr>
                <w:sz w:val="16"/>
              </w:rPr>
            </w:pPr>
            <w:r>
              <w:rPr>
                <w:sz w:val="16"/>
              </w:rPr>
              <w:t>102,7</w:t>
            </w:r>
          </w:p>
        </w:tc>
      </w:tr>
    </w:tbl>
    <w:p>
      <w:pPr>
        <w:pStyle w:val="P35"/>
        <w:spacing w:lineRule="auto" w:line="264" w:before="600"/>
        <w:rPr>
          <w:b w:val="1"/>
        </w:rPr>
      </w:pPr>
      <w:r>
        <w:rPr>
          <w:b w:val="1"/>
        </w:rPr>
        <w:t>2.</w:t>
      </w:r>
      <w:r>
        <w:rPr>
          <w:b w:val="1"/>
        </w:rPr>
        <w:t xml:space="preserve"> </w:t>
      </w:r>
      <w:r>
        <w:rPr>
          <w:b w:val="1"/>
        </w:rPr>
        <w:t>Структура промета по трг</w:t>
      </w:r>
      <w:r>
        <w:rPr>
          <w:b w:val="1"/>
        </w:rPr>
        <w:t>овинским</w:t>
      </w:r>
      <w:r>
        <w:rPr>
          <w:b w:val="1"/>
        </w:rPr>
        <w:t xml:space="preserve"> областима и робним групама за Републику Србију</w:t>
      </w:r>
    </w:p>
    <w:p>
      <w:pPr>
        <w:pStyle w:val="P35"/>
        <w:spacing w:lineRule="auto" w:line="264" w:before="240" w:after="60"/>
        <w:ind w:left="227"/>
        <w:rPr>
          <w:sz w:val="19"/>
        </w:rPr>
      </w:pPr>
      <w:r>
        <w:rPr>
          <w:sz w:val="19"/>
        </w:rPr>
        <w:t xml:space="preserve">2.1. Трговина на велико и мало и поправка моторних возила (област 45 КД)                                                        </w:t>
      </w:r>
      <w:r>
        <w:rPr>
          <w:sz w:val="16"/>
        </w:rPr>
        <w:t>у 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70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spacing w:lineRule="auto" w:line="264" w:before="120" w:after="12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35"/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Мотоцикли, делови, прибор и поправка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right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35"/>
              <w:spacing w:lineRule="auto" w:line="264"/>
              <w:ind w:right="144"/>
              <w:jc w:val="right"/>
              <w:rPr>
                <w:b w:val="1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P35"/>
              <w:spacing w:lineRule="auto" w:line="264"/>
              <w:ind w:right="144"/>
              <w:jc w:val="right"/>
              <w:rPr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P35"/>
              <w:spacing w:lineRule="auto" w:line="264"/>
              <w:ind w:right="144"/>
              <w:jc w:val="right"/>
              <w:rPr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P35"/>
              <w:spacing w:lineRule="auto" w:line="264"/>
              <w:ind w:right="144"/>
              <w:jc w:val="right"/>
              <w:rPr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P35"/>
              <w:spacing w:lineRule="auto" w:line="264"/>
              <w:ind w:right="14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tcBorders>
              <w:right w:val="single" w:sz="4" w:space="0" w:shadow="0" w:frame="0"/>
            </w:tcBorders>
          </w:tcPr>
          <w:p>
            <w:pPr>
              <w:pStyle w:val="P35"/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II  2013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pStyle w:val="P35"/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100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46,4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</w:tbl>
    <w:p>
      <w:pPr>
        <w:pStyle w:val="P35"/>
        <w:spacing w:lineRule="auto" w:line="264" w:before="240" w:after="60"/>
        <w:ind w:left="227"/>
        <w:rPr>
          <w:sz w:val="22"/>
        </w:rPr>
      </w:pPr>
      <w:r>
        <w:rPr>
          <w:sz w:val="19"/>
        </w:rPr>
        <w:t xml:space="preserve">2.2. Трговина на велико, осим трговине моторним возилима (област 46 КД)                                                         </w:t>
      </w:r>
      <w:r>
        <w:rPr>
          <w:sz w:val="16"/>
        </w:rPr>
        <w:t>у 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2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Пољопри-вредне сировине и живе животиње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Производи за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домаћин-ство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Фарма-цеутски, козметички и тоалетни производи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Машине, уређаји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 прибор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Остали непрехрам-бени производи</w:t>
            </w:r>
          </w:p>
        </w:tc>
      </w:tr>
      <w:tr>
        <w:trPr>
          <w:wAfter w:w="0" w:type="dxa"/>
        </w:trPr>
        <w:tc>
          <w:tcPr>
            <w:tcW w:w="102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</w:tcPr>
          <w:p>
            <w:pPr>
              <w:pStyle w:val="P35"/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021" w:type="dxa"/>
            <w:tcBorders>
              <w:right w:val="single" w:sz="4" w:space="0" w:shadow="0" w:frame="0"/>
            </w:tcBorders>
          </w:tcPr>
          <w:p>
            <w:pPr>
              <w:pStyle w:val="P35"/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II  2013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</w:tcPr>
          <w:p>
            <w:pPr>
              <w:pStyle w:val="P35"/>
              <w:spacing w:lineRule="auto" w:line="264"/>
              <w:ind w:right="227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100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6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6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26,7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6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6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6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6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6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1021" w:type="dxa"/>
            <w:vAlign w:val="bottom"/>
          </w:tcPr>
          <w:p>
            <w:pPr>
              <w:spacing w:lineRule="auto" w:line="26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25,4</w:t>
            </w:r>
          </w:p>
        </w:tc>
      </w:tr>
    </w:tbl>
    <w:p>
      <w:pPr>
        <w:pStyle w:val="P35"/>
        <w:spacing w:lineRule="auto" w:line="216" w:before="240" w:after="60"/>
        <w:ind w:left="284"/>
        <w:rPr>
          <w:sz w:val="19"/>
        </w:rPr>
      </w:pPr>
    </w:p>
    <w:p>
      <w:pPr>
        <w:pStyle w:val="P35"/>
        <w:spacing w:lineRule="auto" w:line="216" w:before="240" w:after="40"/>
        <w:ind w:left="227"/>
        <w:rPr>
          <w:sz w:val="19"/>
        </w:rPr>
      </w:pPr>
    </w:p>
    <w:p>
      <w:pPr>
        <w:pStyle w:val="P35"/>
        <w:spacing w:lineRule="auto" w:line="216" w:before="240" w:after="40"/>
        <w:ind w:left="227"/>
        <w:rPr>
          <w:sz w:val="22"/>
        </w:rPr>
      </w:pPr>
      <w:r>
        <w:rPr>
          <w:sz w:val="19"/>
        </w:rPr>
        <w:t>2.3. Трговина на мало, осим трговине моторним возилима (област 47 КД)</w:t>
      </w:r>
    </w:p>
    <w:tbl>
      <w:tblPr>
        <w:tblStyle w:val="T3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953"/>
        </w:trPr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Прехрам-бени производи и алкохолна пића</w:t>
            </w:r>
          </w:p>
        </w:tc>
        <w:tc>
          <w:tcPr>
            <w:tcW w:w="102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Информа-ционо- комуника-цијска опрема</w:t>
            </w:r>
          </w:p>
        </w:tc>
        <w:tc>
          <w:tcPr>
            <w:tcW w:w="102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Производи  за  домаћин-ство</w:t>
            </w:r>
          </w:p>
        </w:tc>
        <w:tc>
          <w:tcPr>
            <w:tcW w:w="1021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35"/>
              <w:jc w:val="center"/>
              <w:rPr>
                <w:sz w:val="16"/>
              </w:rPr>
            </w:pPr>
            <w:r>
              <w:rPr>
                <w:sz w:val="16"/>
              </w:rPr>
              <w:t>Производи за културу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рекреацију</w:t>
            </w:r>
          </w:p>
        </w:tc>
        <w:tc>
          <w:tcPr>
            <w:tcW w:w="102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Фарма-цеутски,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Гориво за моторна возила и мотоцикле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Остали непрехрам-бени производи</w:t>
            </w:r>
          </w:p>
        </w:tc>
      </w:tr>
      <w:tr>
        <w:trPr>
          <w:wAfter w:w="0" w:type="dxa"/>
        </w:trPr>
        <w:tc>
          <w:tcPr>
            <w:tcW w:w="10210" w:type="dxa"/>
            <w:gridSpan w:val="10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5"/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Структура у %</w:t>
            </w:r>
          </w:p>
        </w:tc>
      </w:tr>
      <w:tr>
        <w:trPr>
          <w:wAfter w:w="0" w:type="dxa"/>
        </w:trPr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  2013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5"/>
              <w:ind w:right="227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100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34,2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22,8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</w:tr>
      <w:tr>
        <w:trPr>
          <w:wAfter w:w="0" w:type="dxa"/>
        </w:trPr>
        <w:tc>
          <w:tcPr>
            <w:tcW w:w="10210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5"/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Индекси, текуће цене</w:t>
            </w:r>
          </w:p>
        </w:tc>
      </w:tr>
      <w:tr>
        <w:trPr>
          <w:wAfter w:w="0" w:type="dxa"/>
          <w:trHeight w:hRule="atLeast" w:val="20"/>
        </w:trPr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35"/>
              <w:spacing w:before="40" w:after="4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II  2013</w:t>
            </w:r>
          </w:p>
          <w:p>
            <w:pPr>
              <w:pStyle w:val="P35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  2012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102,1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103,1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105,8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88,7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93,2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95,7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100,5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105,8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104,2</w:t>
            </w:r>
          </w:p>
        </w:tc>
      </w:tr>
      <w:tr>
        <w:trPr>
          <w:wAfter w:w="0" w:type="dxa"/>
          <w:trHeight w:hRule="atLeast" w:val="20"/>
        </w:trPr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5"/>
              <w:spacing w:before="40" w:after="4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II  2013</w:t>
            </w:r>
          </w:p>
          <w:p>
            <w:pPr>
              <w:pStyle w:val="P35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 2013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117,0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112,9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119,0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104,3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125,6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116,0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101,1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127,8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120,2</w:t>
            </w:r>
          </w:p>
        </w:tc>
      </w:tr>
    </w:tbl>
    <w:p>
      <w:pPr>
        <w:pStyle w:val="P35"/>
        <w:spacing w:lineRule="auto" w:line="216" w:before="240" w:after="40"/>
        <w:ind w:hanging="227" w:left="227"/>
        <w:rPr>
          <w:b w:val="1"/>
        </w:rPr>
      </w:pPr>
      <w:r>
        <w:rPr>
          <w:b w:val="1"/>
        </w:rPr>
        <w:t xml:space="preserve">3. </w:t>
      </w:r>
      <w:r>
        <w:rPr>
          <w:b w:val="1"/>
        </w:rPr>
        <w:t>Индекси п</w:t>
      </w:r>
      <w:r>
        <w:rPr>
          <w:b w:val="1"/>
        </w:rPr>
        <w:t>ромет</w:t>
      </w:r>
      <w:r>
        <w:rPr>
          <w:b w:val="1"/>
        </w:rPr>
        <w:t>а</w:t>
      </w:r>
      <w:r>
        <w:rPr>
          <w:b w:val="1"/>
        </w:rPr>
        <w:t xml:space="preserve"> у т</w:t>
      </w:r>
      <w:r>
        <w:rPr>
          <w:b w:val="1"/>
        </w:rPr>
        <w:t>рговин</w:t>
      </w:r>
      <w:r>
        <w:rPr>
          <w:b w:val="1"/>
        </w:rPr>
        <w:t>и</w:t>
      </w:r>
      <w:r>
        <w:rPr>
          <w:b w:val="1"/>
        </w:rPr>
        <w:t xml:space="preserve"> на мало по </w:t>
      </w:r>
      <w:r>
        <w:rPr>
          <w:b w:val="1"/>
        </w:rPr>
        <w:t>основним агр</w:t>
      </w:r>
      <w:r>
        <w:rPr>
          <w:b w:val="1"/>
        </w:rPr>
        <w:t>егатима К</w:t>
      </w:r>
      <w:r>
        <w:rPr>
          <w:b w:val="1"/>
        </w:rPr>
        <w:t>ласификације делатности</w:t>
      </w:r>
      <w:r>
        <w:rPr>
          <w:b w:val="1"/>
        </w:rPr>
        <w:t xml:space="preserve"> </w:t>
      </w:r>
      <w:r>
        <w:rPr>
          <w:b w:val="1"/>
        </w:rPr>
        <w:t xml:space="preserve">                    </w:t>
      </w:r>
      <w:r>
        <w:rPr>
          <w:b w:val="1"/>
        </w:rPr>
        <w:t>(</w:t>
      </w:r>
      <w:r>
        <w:rPr>
          <w:b w:val="1"/>
        </w:rPr>
        <w:t xml:space="preserve">област </w:t>
      </w:r>
      <w:r>
        <w:rPr>
          <w:b w:val="1"/>
        </w:rPr>
        <w:t>47</w:t>
      </w:r>
      <w:r>
        <w:rPr>
          <w:b w:val="1"/>
        </w:rPr>
        <w:t xml:space="preserve"> </w:t>
      </w:r>
      <w:r>
        <w:rPr>
          <w:b w:val="1"/>
        </w:rPr>
        <w:t>К</w:t>
      </w:r>
      <w:r>
        <w:rPr>
          <w:b w:val="1"/>
        </w:rPr>
        <w:t>Д</w:t>
      </w:r>
      <w:r>
        <w:rPr>
          <w:b w:val="1"/>
        </w:rPr>
        <w:t>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60"/>
        </w:trPr>
        <w:tc>
          <w:tcPr>
            <w:tcW w:w="407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547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II  2013</w:t>
            </w:r>
          </w:p>
          <w:p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  2012</w:t>
            </w:r>
          </w:p>
        </w:tc>
        <w:tc>
          <w:tcPr>
            <w:tcW w:w="154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II  2013</w:t>
            </w:r>
          </w:p>
          <w:p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 2013</w:t>
            </w:r>
          </w:p>
        </w:tc>
        <w:tc>
          <w:tcPr>
            <w:tcW w:w="15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II  2013</w:t>
            </w:r>
          </w:p>
          <w:p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>Ø 2012</w:t>
            </w:r>
          </w:p>
        </w:tc>
        <w:tc>
          <w:tcPr>
            <w:tcW w:w="154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 - II  2013</w:t>
            </w:r>
          </w:p>
          <w:p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- II 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10261" w:type="dxa"/>
            <w:gridSpan w:val="5"/>
            <w:tcBorders>
              <w:top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у текућим ценама</w:t>
            </w:r>
          </w:p>
        </w:tc>
      </w:tr>
      <w:tr>
        <w:trPr>
          <w:wAfter w:w="0" w:type="dxa"/>
        </w:trPr>
        <w:tc>
          <w:tcPr>
            <w:tcW w:w="4071" w:type="dxa"/>
            <w:tcBorders>
              <w:right w:val="single" w:sz="4" w:space="0" w:shadow="0" w:frame="0"/>
            </w:tcBorders>
          </w:tcPr>
          <w:p>
            <w:pPr>
              <w:ind w:left="7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5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432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102,1</w:t>
            </w:r>
          </w:p>
        </w:tc>
        <w:tc>
          <w:tcPr>
            <w:tcW w:w="1548" w:type="dxa"/>
            <w:vAlign w:val="bottom"/>
          </w:tcPr>
          <w:p>
            <w:pPr>
              <w:ind w:right="432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117,0</w:t>
            </w:r>
          </w:p>
        </w:tc>
        <w:tc>
          <w:tcPr>
            <w:tcW w:w="1547" w:type="dxa"/>
            <w:vAlign w:val="bottom"/>
          </w:tcPr>
          <w:p>
            <w:pPr>
              <w:ind w:right="432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102,3</w:t>
            </w:r>
          </w:p>
        </w:tc>
        <w:tc>
          <w:tcPr>
            <w:tcW w:w="1548" w:type="dxa"/>
          </w:tcPr>
          <w:p>
            <w:pPr>
              <w:ind w:right="432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4071" w:type="dxa"/>
            <w:tcBorders>
              <w:right w:val="single" w:sz="4" w:space="0" w:shadow="0" w:frame="0"/>
            </w:tcBorders>
          </w:tcPr>
          <w:p>
            <w:pPr>
              <w:ind w:left="14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Од тога:</w:t>
            </w:r>
          </w:p>
        </w:tc>
        <w:tc>
          <w:tcPr>
            <w:tcW w:w="15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</w:p>
        </w:tc>
        <w:tc>
          <w:tcPr>
            <w:tcW w:w="1548" w:type="dxa"/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</w:p>
        </w:tc>
        <w:tc>
          <w:tcPr>
            <w:tcW w:w="1547" w:type="dxa"/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ind w:right="432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194"/>
        </w:trPr>
        <w:tc>
          <w:tcPr>
            <w:tcW w:w="4071" w:type="dxa"/>
            <w:tcBorders>
              <w:right w:val="single" w:sz="4" w:space="0" w:shadow="0" w:frame="0"/>
            </w:tcBorders>
          </w:tcPr>
          <w:p>
            <w:pPr>
              <w:ind w:left="144"/>
              <w:rPr>
                <w:b w:val="1"/>
                <w:sz w:val="16"/>
              </w:rPr>
            </w:pPr>
            <w:r>
              <w:rPr>
                <w:sz w:val="16"/>
              </w:rPr>
              <w:t>Храна, пића и дуван</w:t>
            </w:r>
          </w:p>
        </w:tc>
        <w:tc>
          <w:tcPr>
            <w:tcW w:w="15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108,7</w:t>
            </w:r>
          </w:p>
        </w:tc>
        <w:tc>
          <w:tcPr>
            <w:tcW w:w="1548" w:type="dxa"/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114,5</w:t>
            </w:r>
          </w:p>
        </w:tc>
        <w:tc>
          <w:tcPr>
            <w:tcW w:w="1547" w:type="dxa"/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107,6</w:t>
            </w:r>
          </w:p>
        </w:tc>
        <w:tc>
          <w:tcPr>
            <w:tcW w:w="1548" w:type="dxa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106,1</w:t>
            </w:r>
          </w:p>
        </w:tc>
      </w:tr>
      <w:tr>
        <w:trPr>
          <w:wAfter w:w="0" w:type="dxa"/>
        </w:trPr>
        <w:tc>
          <w:tcPr>
            <w:tcW w:w="4071" w:type="dxa"/>
            <w:tcBorders>
              <w:right w:val="single" w:sz="4" w:space="0" w:shadow="0" w:frame="0"/>
            </w:tcBorders>
          </w:tcPr>
          <w:p>
            <w:pPr>
              <w:ind w:left="144"/>
              <w:rPr>
                <w:b w:val="1"/>
                <w:sz w:val="16"/>
              </w:rPr>
            </w:pPr>
            <w:r>
              <w:rPr>
                <w:sz w:val="16"/>
              </w:rPr>
              <w:t>Непрехрамбени производи, осим моторних горива</w:t>
            </w:r>
          </w:p>
        </w:tc>
        <w:tc>
          <w:tcPr>
            <w:tcW w:w="15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92,8</w:t>
            </w:r>
          </w:p>
        </w:tc>
        <w:tc>
          <w:tcPr>
            <w:tcW w:w="1548" w:type="dxa"/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114,9</w:t>
            </w:r>
          </w:p>
        </w:tc>
        <w:tc>
          <w:tcPr>
            <w:tcW w:w="1547" w:type="dxa"/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95,9</w:t>
            </w:r>
          </w:p>
        </w:tc>
        <w:tc>
          <w:tcPr>
            <w:tcW w:w="1548" w:type="dxa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95,0</w:t>
            </w:r>
          </w:p>
        </w:tc>
      </w:tr>
      <w:tr>
        <w:trPr>
          <w:wAfter w:w="0" w:type="dxa"/>
        </w:trPr>
        <w:tc>
          <w:tcPr>
            <w:tcW w:w="4071" w:type="dxa"/>
            <w:tcBorders>
              <w:right w:val="single" w:sz="4" w:space="0" w:shadow="0" w:frame="0"/>
            </w:tcBorders>
          </w:tcPr>
          <w:p>
            <w:pPr>
              <w:ind w:left="144"/>
              <w:rPr>
                <w:b w:val="1"/>
                <w:sz w:val="16"/>
              </w:rPr>
            </w:pPr>
            <w:r>
              <w:rPr>
                <w:sz w:val="16"/>
              </w:rPr>
              <w:t>Моторна горива</w:t>
            </w:r>
          </w:p>
        </w:tc>
        <w:tc>
          <w:tcPr>
            <w:tcW w:w="15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105,1</w:t>
            </w:r>
          </w:p>
        </w:tc>
        <w:tc>
          <w:tcPr>
            <w:tcW w:w="1548" w:type="dxa"/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125,0</w:t>
            </w:r>
          </w:p>
        </w:tc>
        <w:tc>
          <w:tcPr>
            <w:tcW w:w="1547" w:type="dxa"/>
            <w:vAlign w:val="bottom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102,7</w:t>
            </w:r>
          </w:p>
        </w:tc>
        <w:tc>
          <w:tcPr>
            <w:tcW w:w="1548" w:type="dxa"/>
          </w:tcPr>
          <w:p>
            <w:pPr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100,2</w:t>
            </w:r>
          </w:p>
        </w:tc>
      </w:tr>
    </w:tbl>
    <w:p>
      <w:pPr>
        <w:pStyle w:val="P35"/>
        <w:spacing w:lineRule="auto" w:line="216" w:before="240" w:after="40"/>
        <w:rPr>
          <w:b w:val="1"/>
        </w:rPr>
      </w:pPr>
      <w:r>
        <w:rPr>
          <w:b w:val="1"/>
        </w:rPr>
        <w:t>4. Индекси промета у т</w:t>
      </w:r>
      <w:r>
        <w:rPr>
          <w:b w:val="1"/>
        </w:rPr>
        <w:t>рговин</w:t>
      </w:r>
      <w:r>
        <w:rPr>
          <w:b w:val="1"/>
        </w:rPr>
        <w:t>и</w:t>
      </w:r>
      <w:r>
        <w:rPr>
          <w:b w:val="1"/>
        </w:rPr>
        <w:t xml:space="preserve"> на мало</w:t>
      </w:r>
      <w:r>
        <w:rPr>
          <w:b w:val="1"/>
        </w:rPr>
        <w:t>,</w:t>
      </w:r>
      <w:r>
        <w:rPr>
          <w:b w:val="1"/>
        </w:rPr>
        <w:t xml:space="preserve"> по месецима (</w:t>
      </w:r>
      <w:r>
        <w:rPr>
          <w:b w:val="1"/>
        </w:rPr>
        <w:t xml:space="preserve">област </w:t>
      </w:r>
      <w:r>
        <w:rPr>
          <w:b w:val="1"/>
        </w:rPr>
        <w:t>47</w:t>
      </w:r>
      <w:r>
        <w:rPr>
          <w:b w:val="1"/>
        </w:rPr>
        <w:t xml:space="preserve"> </w:t>
      </w:r>
      <w:r>
        <w:rPr>
          <w:b w:val="1"/>
        </w:rPr>
        <w:t>КД)</w:t>
      </w:r>
    </w:p>
    <w:tbl>
      <w:tblPr>
        <w:tblStyle w:val="T3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00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35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Месечни индекси за 2013.</w:t>
            </w:r>
          </w:p>
        </w:tc>
      </w:tr>
      <w:tr>
        <w:trPr>
          <w:wAfter w:w="0" w:type="dxa"/>
        </w:trPr>
        <w:tc>
          <w:tcPr>
            <w:tcW w:w="300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35"/>
              <w:rPr>
                <w:sz w:val="16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35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35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у сталним ценама</w:t>
            </w:r>
          </w:p>
        </w:tc>
      </w:tr>
      <w:tr>
        <w:trPr>
          <w:wAfter w:w="0" w:type="dxa"/>
        </w:trPr>
        <w:tc>
          <w:tcPr>
            <w:tcW w:w="300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35"/>
              <w:rPr>
                <w:sz w:val="16"/>
              </w:rPr>
            </w:pPr>
          </w:p>
        </w:tc>
        <w:tc>
          <w:tcPr>
            <w:tcW w:w="1191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35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април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</w:tcPr>
          <w:p>
            <w:pPr>
              <w:pStyle w:val="P35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мај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</w:tcPr>
          <w:p>
            <w:pPr>
              <w:pStyle w:val="P35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јун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</w:tcPr>
          <w:p>
            <w:pPr>
              <w:pStyle w:val="P35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април</w:t>
            </w:r>
          </w:p>
        </w:tc>
        <w:tc>
          <w:tcPr>
            <w:tcW w:w="1191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35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мај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35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јун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35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5"/>
              <w:ind w:right="144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5"/>
              <w:ind w:right="144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5"/>
              <w:ind w:right="144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5"/>
              <w:ind w:right="144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5"/>
              <w:ind w:right="144"/>
              <w:jc w:val="right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35"/>
              <w:ind w:right="14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35"/>
              <w:ind w:left="72"/>
              <w:rPr>
                <w:sz w:val="16"/>
              </w:rPr>
            </w:pPr>
            <w:r>
              <w:rPr>
                <w:sz w:val="16"/>
              </w:rPr>
              <w:t>Ø 2012 = 100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104,4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103,7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98,9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98,4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97,9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92,8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35"/>
              <w:ind w:left="72"/>
              <w:rPr>
                <w:sz w:val="16"/>
              </w:rPr>
            </w:pPr>
            <w:r>
              <w:rPr>
                <w:sz w:val="16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102,8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103,6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99,9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94,3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95,9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92,7</w:t>
            </w:r>
          </w:p>
        </w:tc>
      </w:tr>
    </w:tbl>
    <w:p>
      <w:pPr>
        <w:spacing w:before="360" w:after="240"/>
        <w:jc w:val="center"/>
        <w:rPr>
          <w:b w:val="1"/>
        </w:rPr>
      </w:pPr>
      <w:r>
        <w:rPr>
          <w:b w:val="1"/>
        </w:rPr>
        <w:t>Методолошка објашњења</w:t>
      </w:r>
    </w:p>
    <w:p>
      <w:pPr>
        <w:spacing w:lineRule="auto" w:line="221" w:before="120"/>
        <w:ind w:firstLine="397"/>
        <w:jc w:val="both"/>
        <w:rPr>
          <w:sz w:val="18"/>
        </w:rPr>
      </w:pPr>
      <w:r>
        <w:rPr>
          <w:sz w:val="18"/>
        </w:rPr>
        <w:t>Резултати за области 45 КД и 47 КД обухватају промет свих пословних субјеката, правних лица и предузетника (закључно са 2012. годином промет се односио само на правна лица), а област 46 КД обухвата само податке за правна лица.</w:t>
      </w:r>
    </w:p>
    <w:p>
      <w:pPr>
        <w:spacing w:lineRule="auto" w:line="221" w:before="120"/>
        <w:ind w:firstLine="397"/>
        <w:jc w:val="both"/>
        <w:rPr>
          <w:sz w:val="18"/>
        </w:rPr>
      </w:pPr>
      <w:r>
        <w:rPr>
          <w:sz w:val="18"/>
        </w:rPr>
        <w:t>Подаци о промету правних лица добијени су на основу три редовна тромесечна статистичка истраживања која се односе на а) трговину на велико и мало и поправку моторних возила, б) трговину на велико и в) трговину на мало и реализују се на узорку. Узорком су обухваћена сва велика, средња и случајно изабрана мала правна лица регистрована у сектору G Класификације делатности (Трговина на велико и трговина на мало; поправка моторних возила и мотоцикала). У оцену су укључена и одређена правна лица која према претежној делатности нису регистрована у трговини, али имају делове који обављају трговинску делатност.</w:t>
      </w:r>
    </w:p>
    <w:p>
      <w:pPr>
        <w:spacing w:lineRule="auto" w:line="221" w:before="120"/>
        <w:ind w:firstLine="397"/>
        <w:jc w:val="both"/>
        <w:rPr>
          <w:sz w:val="18"/>
        </w:rPr>
      </w:pPr>
      <w:r>
        <w:rPr>
          <w:sz w:val="18"/>
        </w:rPr>
        <w:t>Подаци о промету предузетника изведени су на основу пријава ПДВ-а, добијених од Пореске управе.</w:t>
      </w:r>
    </w:p>
    <w:p>
      <w:pPr>
        <w:pStyle w:val="P16"/>
        <w:spacing w:lineRule="auto" w:line="221" w:before="120" w:after="0"/>
        <w:ind w:firstLine="397" w:left="0"/>
        <w:jc w:val="both"/>
        <w:rPr>
          <w:sz w:val="18"/>
        </w:rPr>
      </w:pPr>
      <w:r>
        <w:rPr>
          <w:sz w:val="18"/>
        </w:rPr>
        <w:t>Промет обухвата порез на додату вредност (ПДВ).</w:t>
      </w:r>
    </w:p>
    <w:p>
      <w:pPr>
        <w:spacing w:lineRule="auto" w:line="221" w:before="120"/>
        <w:ind w:firstLine="397"/>
        <w:jc w:val="both"/>
        <w:rPr>
          <w:sz w:val="18"/>
        </w:rPr>
      </w:pPr>
      <w:r>
        <w:rPr>
          <w:sz w:val="18"/>
        </w:rPr>
        <w:t>Индекси промета робе трговине на мало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lineRule="auto" w:line="221" w:before="120"/>
        <w:ind w:firstLine="397"/>
        <w:jc w:val="both"/>
        <w:rPr>
          <w:sz w:val="18"/>
        </w:rPr>
      </w:pPr>
      <w:r>
        <w:rPr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lineRule="auto" w:line="221" w:before="120"/>
        <w:ind w:firstLine="397"/>
        <w:jc w:val="both"/>
        <w:rPr>
          <w:sz w:val="18"/>
        </w:rPr>
      </w:pPr>
      <w:r>
        <w:rPr>
          <w:sz w:val="18"/>
        </w:rPr>
        <w:t xml:space="preserve">Детаљнија методолошка објашњења истраживања унутрашње трговине налазе се на сајту Завода: </w:t>
      </w:r>
      <w:r>
        <w:rPr>
          <w:sz w:val="18"/>
        </w:rPr>
        <w:fldChar w:fldCharType="begin"/>
      </w:r>
      <w:r>
        <w:rPr>
          <w:sz w:val="18"/>
        </w:rPr>
        <w:instrText xml:space="preserve"> HYPERLINK "http://webrzs.stat.gov.rs/WebSite/Public/PageView.aspx?pKey=105" </w:instrText>
      </w:r>
      <w:r>
        <w:rPr>
          <w:sz w:val="18"/>
        </w:rPr>
        <w:fldChar w:fldCharType="separate"/>
      </w:r>
      <w:r>
        <w:rPr>
          <w:rStyle w:val="C2"/>
          <w:sz w:val="18"/>
        </w:rPr>
        <w:t>http://webrzs.stat.</w:t>
      </w:r>
      <w:bookmarkStart w:id="0" w:name="_Hlt354648909"/>
      <w:bookmarkStart w:id="1" w:name="_Hlt354648910"/>
      <w:r>
        <w:rPr>
          <w:rStyle w:val="C2"/>
          <w:sz w:val="18"/>
        </w:rPr>
        <w:t>g</w:t>
      </w:r>
      <w:bookmarkEnd w:id="0"/>
      <w:bookmarkEnd w:id="1"/>
      <w:r>
        <w:rPr>
          <w:rStyle w:val="C2"/>
          <w:sz w:val="18"/>
        </w:rPr>
        <w:t>ov.rs/W</w:t>
      </w:r>
      <w:bookmarkStart w:id="2" w:name="_Hlt354388868"/>
      <w:bookmarkStart w:id="3" w:name="_Hlt354388869"/>
      <w:r>
        <w:rPr>
          <w:rStyle w:val="C2"/>
          <w:sz w:val="18"/>
        </w:rPr>
        <w:t>e</w:t>
      </w:r>
      <w:bookmarkEnd w:id="2"/>
      <w:bookmarkEnd w:id="3"/>
      <w:r>
        <w:rPr>
          <w:rStyle w:val="C2"/>
          <w:sz w:val="18"/>
        </w:rPr>
        <w:t>b</w:t>
      </w:r>
      <w:bookmarkStart w:id="4" w:name="_Hlt354649021"/>
      <w:bookmarkStart w:id="5" w:name="_Hlt354649022"/>
      <w:r>
        <w:rPr>
          <w:rStyle w:val="C2"/>
          <w:sz w:val="18"/>
        </w:rPr>
        <w:t>S</w:t>
      </w:r>
      <w:bookmarkEnd w:id="4"/>
      <w:bookmarkEnd w:id="5"/>
      <w:bookmarkStart w:id="6" w:name="_Hlt354648666"/>
      <w:bookmarkStart w:id="7" w:name="_Hlt354648667"/>
      <w:r>
        <w:rPr>
          <w:rStyle w:val="C2"/>
          <w:sz w:val="18"/>
        </w:rPr>
        <w:t>i</w:t>
      </w:r>
      <w:bookmarkEnd w:id="6"/>
      <w:bookmarkEnd w:id="7"/>
      <w:r>
        <w:rPr>
          <w:rStyle w:val="C2"/>
          <w:sz w:val="18"/>
        </w:rPr>
        <w:t>te/Pu</w:t>
      </w:r>
      <w:bookmarkStart w:id="8" w:name="_Hlt354647459"/>
      <w:bookmarkStart w:id="9" w:name="_Hlt354647460"/>
      <w:r>
        <w:rPr>
          <w:rStyle w:val="C2"/>
          <w:sz w:val="18"/>
        </w:rPr>
        <w:t>b</w:t>
      </w:r>
      <w:bookmarkEnd w:id="8"/>
      <w:bookmarkEnd w:id="9"/>
      <w:bookmarkStart w:id="10" w:name="_Hlt354648726"/>
      <w:bookmarkStart w:id="11" w:name="_Hlt354648727"/>
      <w:r>
        <w:rPr>
          <w:rStyle w:val="C2"/>
          <w:sz w:val="18"/>
        </w:rPr>
        <w:t>l</w:t>
      </w:r>
      <w:bookmarkEnd w:id="10"/>
      <w:bookmarkEnd w:id="11"/>
      <w:r>
        <w:rPr>
          <w:rStyle w:val="C2"/>
          <w:sz w:val="18"/>
        </w:rPr>
        <w:t>ic/PageView.</w:t>
      </w:r>
      <w:bookmarkStart w:id="12" w:name="_Hlt355944017"/>
      <w:bookmarkStart w:id="13" w:name="_Hlt355944018"/>
      <w:r>
        <w:rPr>
          <w:rStyle w:val="C2"/>
          <w:sz w:val="18"/>
        </w:rPr>
        <w:t>a</w:t>
      </w:r>
      <w:bookmarkEnd w:id="12"/>
      <w:bookmarkEnd w:id="13"/>
      <w:r>
        <w:rPr>
          <w:rStyle w:val="C2"/>
          <w:sz w:val="18"/>
        </w:rPr>
        <w:t>spx?pKey=105</w:t>
      </w:r>
      <w:r>
        <w:rPr>
          <w:rStyle w:val="C2"/>
          <w:sz w:val="18"/>
        </w:rPr>
        <w:fldChar w:fldCharType="end"/>
      </w:r>
      <w:r>
        <w:rPr>
          <w:sz w:val="18"/>
        </w:rPr>
        <w:t xml:space="preserve">. </w:t>
      </w:r>
    </w:p>
    <w:p>
      <w:pPr>
        <w:spacing w:lineRule="auto" w:line="221" w:before="120"/>
        <w:ind w:firstLine="397"/>
        <w:rPr>
          <w:sz w:val="18"/>
        </w:rPr>
      </w:pPr>
      <w:r>
        <w:rPr>
          <w:sz w:val="18"/>
        </w:rPr>
        <w:t xml:space="preserve">Серије података по трговинским областима КД (области 45–47 КД) доступне су на сајту Завода, у бази података: </w:t>
      </w:r>
      <w:r>
        <w:rPr>
          <w:sz w:val="18"/>
        </w:rPr>
        <w:fldChar w:fldCharType="begin"/>
      </w:r>
      <w:r>
        <w:rPr>
          <w:sz w:val="18"/>
        </w:rPr>
        <w:instrText xml:space="preserve"> HYPERLINK "http://webrzs.stat.gov.rs/WebSite/public/ReportView.aspx" </w:instrText>
      </w:r>
      <w:r>
        <w:rPr>
          <w:sz w:val="18"/>
        </w:rPr>
        <w:fldChar w:fldCharType="separate"/>
      </w:r>
      <w:r>
        <w:rPr>
          <w:rStyle w:val="C2"/>
          <w:sz w:val="18"/>
        </w:rPr>
        <w:t>http://webrzs.stat</w:t>
      </w:r>
      <w:bookmarkStart w:id="14" w:name="_Hlt354648884"/>
      <w:bookmarkStart w:id="15" w:name="_Hlt354648885"/>
      <w:r>
        <w:rPr>
          <w:rStyle w:val="C2"/>
          <w:sz w:val="18"/>
        </w:rPr>
        <w:t>.</w:t>
      </w:r>
      <w:bookmarkEnd w:id="14"/>
      <w:bookmarkEnd w:id="15"/>
      <w:r>
        <w:rPr>
          <w:rStyle w:val="C2"/>
          <w:sz w:val="18"/>
        </w:rPr>
        <w:t>go</w:t>
      </w:r>
      <w:bookmarkStart w:id="16" w:name="_Hlt355944922"/>
      <w:bookmarkStart w:id="17" w:name="_Hlt355944923"/>
      <w:r>
        <w:rPr>
          <w:rStyle w:val="C2"/>
          <w:sz w:val="18"/>
        </w:rPr>
        <w:t>v</w:t>
      </w:r>
      <w:bookmarkEnd w:id="16"/>
      <w:bookmarkEnd w:id="17"/>
      <w:r>
        <w:rPr>
          <w:rStyle w:val="C2"/>
          <w:sz w:val="18"/>
        </w:rPr>
        <w:t>.rs/WebS</w:t>
      </w:r>
      <w:bookmarkStart w:id="18" w:name="_Hlt354648919"/>
      <w:bookmarkStart w:id="19" w:name="_Hlt354648920"/>
      <w:r>
        <w:rPr>
          <w:rStyle w:val="C2"/>
          <w:sz w:val="18"/>
        </w:rPr>
        <w:t>i</w:t>
      </w:r>
      <w:bookmarkEnd w:id="18"/>
      <w:bookmarkEnd w:id="19"/>
      <w:r>
        <w:rPr>
          <w:rStyle w:val="C2"/>
          <w:sz w:val="18"/>
        </w:rPr>
        <w:t>te/public/ReportView.aspx</w:t>
      </w:r>
      <w:r>
        <w:rPr>
          <w:rStyle w:val="C2"/>
          <w:sz w:val="18"/>
        </w:rPr>
        <w:fldChar w:fldCharType="end"/>
      </w:r>
      <w:r>
        <w:rPr>
          <w:sz w:val="18"/>
        </w:rPr>
        <w:t>.</w:t>
      </w: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0"/>
                <w:sz w:val="18"/>
              </w:rPr>
            </w:pPr>
            <w:r>
              <w:rPr>
                <w:i w:val="1"/>
                <w:sz w:val="18"/>
              </w:rPr>
              <w:t xml:space="preserve">Контакт: </w:t>
            </w:r>
            <w:r>
              <w:rPr>
                <w:i w:val="1"/>
                <w:color w:val="0000FF"/>
                <w:sz w:val="18"/>
              </w:rPr>
              <w:t>danijela.</w:t>
            </w:r>
            <w:r>
              <w:rPr>
                <w:i w:val="1"/>
                <w:color w:val="0000FF"/>
                <w:sz w:val="18"/>
              </w:rPr>
              <w:t>mladenovic</w:t>
            </w:r>
            <w:r>
              <w:rPr>
                <w:i w:val="1"/>
                <w:color w:val="0000FF"/>
                <w:sz w:val="18"/>
              </w:rPr>
              <w:t>@stat.gov.rs</w:t>
            </w:r>
            <w:r>
              <w:rPr>
                <w:i w:val="1"/>
                <w:sz w:val="18"/>
              </w:rPr>
              <w:t xml:space="preserve"> тел: 011 2412-922 локал </w:t>
            </w:r>
            <w:r>
              <w:rPr>
                <w:i w:val="1"/>
                <w:sz w:val="18"/>
              </w:rPr>
              <w:t>315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0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квартална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259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ПМ11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1309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55307E08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B64B88C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DECF9E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3C982F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7C5180A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175FA7E1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0833B14A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38F7F968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674B368B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2E1214BD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106D2860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65B900BD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1B773F59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5EE89E7A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173DDBF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75FD23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AEE301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0352977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301CA8B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1208AD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61D1D2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70E6B90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641C08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61874B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3354130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73636F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2ED3DB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00F7217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2985C4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BC9541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373C8F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keepNext w:val="1"/>
      <w:jc w:val="center"/>
      <w:outlineLvl w:val="7"/>
    </w:pPr>
    <w:rPr>
      <w:b w:val="1"/>
      <w:sz w:val="26"/>
    </w:rPr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2013-09-12T09:13:00Z</dcterms:created>
  <cp:lastModifiedBy>Nikola Kapetanovic</cp:lastModifiedBy>
  <cp:lastPrinted>2013-06-10T09:28:00Z</cp:lastPrinted>
  <dcterms:modified xsi:type="dcterms:W3CDTF">2020-01-10T11:17:22Z</dcterms:modified>
  <cp:revision>3</cp:revision>
  <dc:title>                  </dc:title>
</cp:coreProperties>
</file>