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583953B" Type="http://schemas.openxmlformats.org/officeDocument/2006/relationships/officeDocument" Target="/word/document.xml" /><Relationship Id="coreR6583953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Arial" w:hAnsi="Arial"/>
          <w:sz w:val="2"/>
        </w:rPr>
      </w:pPr>
    </w:p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color w:val="808080"/>
                <w:sz w:val="20"/>
              </w:rPr>
            </w:pPr>
            <w:r>
              <w:rPr>
                <w:rFonts w:ascii="Arial" w:hAnsi="Arial"/>
                <w:color w:val="808080"/>
                <w:sz w:val="20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Република Србија</w:t>
            </w:r>
          </w:p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20"/>
              </w:rPr>
            </w:pPr>
            <w:r>
              <w:rPr>
                <w:rFonts w:ascii="Arial" w:hAnsi="Arial"/>
                <w:sz w:val="20"/>
              </w:rP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b w:val="1"/>
                <w:color w:val="808080"/>
                <w:sz w:val="48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</w:t>
            </w:r>
            <w:r>
              <w:rPr>
                <w:rFonts w:ascii="Arial" w:hAnsi="Arial"/>
                <w:b w:val="1"/>
                <w:color w:val="808080"/>
                <w:sz w:val="48"/>
              </w:rPr>
              <w:t>3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број 256 - год. LXIII, 16.09.2013.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  <w:sz w:val="20"/>
              </w:rPr>
            </w:pPr>
          </w:p>
        </w:tc>
      </w:tr>
      <w:tr>
        <w:trPr>
          <w:wAfter w:w="0" w:type="dxa"/>
          <w:trHeight w:hRule="atLeast" w:val="397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СРБ256</w:t>
            </w:r>
            <w:r>
              <w:rPr>
                <w:rFonts w:ascii="Arial" w:hAnsi="Arial"/>
                <w:color w:val="FF000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ГР30 160913</w:t>
            </w:r>
          </w:p>
        </w:tc>
      </w:tr>
    </w:tbl>
    <w:p>
      <w:pPr>
        <w:pStyle w:val="P27"/>
        <w:spacing w:before="600"/>
        <w:ind w:left="360"/>
      </w:pPr>
      <w:r>
        <w:t>Издате грађевинске дозволе у Републици Србији, јул 2013.</w:t>
      </w:r>
    </w:p>
    <w:p>
      <w:pPr>
        <w:pStyle w:val="P20"/>
        <w:spacing w:before="240"/>
        <w:ind w:left="1080"/>
        <w:jc w:val="left"/>
      </w:pPr>
      <w:r>
        <w:t xml:space="preserve">                                     – Претходни резултати –</w:t>
      </w:r>
    </w:p>
    <w:p>
      <w:pPr>
        <w:jc w:val="center"/>
        <w:rPr>
          <w:sz w:val="20"/>
        </w:rPr>
      </w:pP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Према броју дозвола издатих у јулу 2013, пријављена је изградња 770 станова с просечном површином 77,3 m². Према издатим дозволама, број станова мањи је за 53,1% него у јулу 2012. Од укупног броја станова у новим стамбеним зградама, 22,1% станова биће грађено у зградама с једним станом, с просечном површином 136,2 m², а 68,1% станова биће грађено у зградама с три стана и више станова, и њихова просечна површина биће знатно мања и износиће 55,6 m².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 xml:space="preserve">У јулу 2013. издато је 733 грађевинскe дозволe, што је за 3,7% више него у јулу претходне године. Индекс предвиђене вредности радова у јулу 2013. већи је за 15,2% у односу на јул 2012.  </w:t>
      </w:r>
    </w:p>
    <w:p>
      <w:pPr>
        <w:pStyle w:val="P28"/>
        <w:numPr>
          <w:ilvl w:val="0"/>
          <w:numId w:val="0"/>
        </w:numPr>
        <w:spacing w:after="120"/>
        <w:ind w:firstLine="397"/>
        <w:rPr>
          <w:b w:val="1"/>
        </w:rPr>
      </w:pPr>
      <w:r>
        <w:t xml:space="preserve">Посматрано према врсти грађевина, у јулу 2013. издато је 78,0% дозволa за зграде и 22,0% за остале грађевине. Ако се посматрају само зграде, 68,0% односи се на стамбене и 32,0% на нестамбене зграде, док се код осталих грађевина највећи део односи на цевоводе, комуникационе и електричне водове, 57,8%. </w:t>
      </w:r>
    </w:p>
    <w:p>
      <w:pPr>
        <w:pStyle w:val="P28"/>
        <w:numPr>
          <w:ilvl w:val="0"/>
          <w:numId w:val="0"/>
        </w:numPr>
        <w:spacing w:after="120"/>
        <w:ind w:firstLine="397"/>
      </w:pPr>
      <w:r>
        <w:t>Предвиђена вредност радова новоградње у јулу 2013. износи 88,3% од укупно предвиђене вредности радова. Највећа грађевинска активност, посматрано према областима, забележена је у Београдској</w:t>
      </w:r>
      <w:r>
        <w:rPr>
          <w:color w:val="FF0000"/>
        </w:rPr>
        <w:t xml:space="preserve"> </w:t>
      </w:r>
      <w:r>
        <w:t xml:space="preserve">области, 54,2% од предвиђене вредности новоградње. Следе Сремска област, 11,4%, Рашка област, 5,3%, и Јужнобачка област, 4,1%,  док се учешћа осталих области крећу  до 2,6%.</w:t>
      </w:r>
    </w:p>
    <w:p>
      <w:pPr>
        <w:pStyle w:val="P12"/>
      </w:pPr>
      <w:r>
        <w:drawing>
          <wp:inline xmlns:wp="http://schemas.openxmlformats.org/drawingml/2006/wordprocessingDrawing">
            <wp:extent cx="6244590" cy="415417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44590" cy="41541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21"/>
        <w:numPr>
          <w:ilvl w:val="0"/>
          <w:numId w:val="0"/>
        </w:numPr>
        <w:spacing w:before="600"/>
      </w:pPr>
      <w:r>
        <w:t>Индекси издатих грађевинских дозвола у Републици Србији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I–VII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I–VII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VI 2013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VII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Symbol" w:hAnsi="Symbol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2012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Укупно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95,6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127,9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103,7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118,7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89,4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114,6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115,2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Зграде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93,5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128,5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101,6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120,5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54,0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162,1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57,1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82,0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64,7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147,2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69,5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69,5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176,8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82,0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116,3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Остале грађевине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6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102,3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125,8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111,8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112,7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148,1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95,6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371,0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142,1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Станови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65,8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89,1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46,9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65,9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98,2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54,6</w:t>
            </w:r>
          </w:p>
        </w:tc>
        <w:tc>
          <w:tcPr>
            <w:tcW w:w="1533" w:type="dxa"/>
            <w:vAlign w:val="bottom"/>
          </w:tcPr>
          <w:p>
            <w:pPr>
              <w:ind w:right="397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83,0</w:t>
            </w:r>
          </w:p>
        </w:tc>
      </w:tr>
    </w:tbl>
    <w:p>
      <w:pPr>
        <w:pStyle w:val="P9"/>
        <w:spacing w:before="480" w:after="120"/>
        <w:rPr>
          <w:sz w:val="20"/>
        </w:rPr>
      </w:pPr>
    </w:p>
    <w:p>
      <w:pPr>
        <w:pStyle w:val="P9"/>
        <w:spacing w:before="480" w:after="120"/>
        <w:rPr>
          <w:sz w:val="20"/>
        </w:rPr>
      </w:pPr>
      <w:r>
        <w:rPr>
          <w:sz w:val="20"/>
        </w:rPr>
        <w:t>Методолошка објашњења</w:t>
      </w:r>
    </w:p>
    <w:p/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 и oпштинe, који према Закону о планирању и изградњи („Службени гласник РС“, број 72/09, члан 133) издају грађевинску дозволу за изградњу грађевинског објекта.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 оквиру овог истраживања, појмом „грађевинска дозвола“ обједињују се грађевинска дозвола за изградњу грађевинског објекта и решење којим се одобрава извођење радова.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Детаљна методолошка објашњења овог истраживања налазе се у едицији Завода „Методологије и стандарди“. На сајту Републичког завода за статистику могу се наћи: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Месечна истраживања о грађевинским дозволама, свеска број 22</w:t>
      </w:r>
    </w:p>
    <w:p>
      <w:pPr>
        <w:ind w:firstLine="397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(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"http://webrzs.stat.gov.rs/WebSite/userFiles/file/Gradjevinarstvo/SMET/SMET012010L.pdf"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</w:rPr>
        <w:t>http://webrzs.stat.gov.rs/WebSite/userFiles/file/Gradjevinarstvo/SMET/SMET012010L.pdf</w:t>
      </w:r>
      <w:r>
        <w:rPr>
          <w:rStyle w:val="C2"/>
          <w:rFonts w:ascii="Arial" w:hAnsi="Arial"/>
          <w:sz w:val="18"/>
        </w:rPr>
        <w:fldChar w:fldCharType="end"/>
      </w:r>
      <w:r>
        <w:rPr>
          <w:rFonts w:ascii="Arial" w:hAnsi="Arial"/>
          <w:sz w:val="18"/>
        </w:rPr>
        <w:t xml:space="preserve">), и </w:t>
      </w:r>
    </w:p>
    <w:p>
      <w:pPr>
        <w:ind w:firstLine="397"/>
        <w:jc w:val="both"/>
        <w:rPr>
          <w:rFonts w:ascii="Arial" w:hAnsi="Arial"/>
          <w:sz w:val="6"/>
        </w:rPr>
      </w:pPr>
    </w:p>
    <w:p>
      <w:pPr>
        <w:ind w:firstLine="39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Класификација врста грађевина, свеска број 15 </w:t>
      </w:r>
    </w:p>
    <w:p>
      <w:pPr>
        <w:ind w:firstLine="397"/>
        <w:rPr>
          <w:color w:val="0000FF"/>
          <w:sz w:val="18"/>
        </w:rPr>
      </w:pPr>
      <w:r>
        <w:rPr>
          <w:rFonts w:ascii="Arial" w:hAnsi="Arial"/>
          <w:sz w:val="18"/>
        </w:rPr>
        <w:fldChar w:fldCharType="begin"/>
      </w:r>
      <w:r>
        <w:rPr>
          <w:rFonts w:ascii="ArialMT" w:hAnsi="ArialMT"/>
          <w:color w:val="0000FF"/>
          <w:sz w:val="18"/>
        </w:rPr>
        <w:instrText xml:space="preserve"> HYPERLINK "http://webrzs.stat.gov.rs/WebSite/userFiles/file/Metodologije/Klasifikacije/mm152005.pdf" </w:instrText>
      </w:r>
      <w:r>
        <w:rPr>
          <w:rFonts w:ascii="ArialMT" w:hAnsi="ArialMT"/>
          <w:color w:val="0000FF"/>
          <w:sz w:val="18"/>
        </w:rPr>
        <w:fldChar w:fldCharType="separate"/>
      </w:r>
      <w:r>
        <w:rPr>
          <w:rStyle w:val="C2"/>
          <w:rFonts w:ascii="ArialMT" w:hAnsi="ArialMT"/>
          <w:sz w:val="18"/>
        </w:rPr>
        <w:t>http://webrzs.stat.gov.rs/WebSite/userFiles/file/Metodologije/Klasifikacije/mm152005.pdf</w:t>
      </w:r>
      <w:r>
        <w:rPr>
          <w:rStyle w:val="C2"/>
          <w:rFonts w:ascii="ArialMT" w:hAnsi="ArialMT"/>
          <w:sz w:val="18"/>
        </w:rPr>
        <w:fldChar w:fldCharType="end"/>
      </w:r>
      <w:r>
        <w:rPr>
          <w:rFonts w:ascii="Arial" w:hAnsi="Arial"/>
          <w:sz w:val="18"/>
        </w:rPr>
        <w:t>).</w:t>
      </w: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ind w:firstLine="714"/>
        <w:jc w:val="both"/>
        <w:rPr>
          <w:rFonts w:ascii="Arial" w:hAnsi="Arial"/>
          <w:sz w:val="18"/>
        </w:rPr>
      </w:pPr>
    </w:p>
    <w:p>
      <w:pPr>
        <w:spacing w:before="12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Контакт: </w:t>
      </w:r>
      <w:r>
        <w:rPr>
          <w:rFonts w:ascii="Arial" w:hAnsi="Arial"/>
          <w:sz w:val="18"/>
        </w:rPr>
        <w:fldChar w:fldCharType="begin"/>
      </w:r>
      <w:r>
        <w:rPr>
          <w:rFonts w:ascii="Arial" w:hAnsi="Arial"/>
          <w:sz w:val="18"/>
        </w:rPr>
        <w:instrText xml:space="preserve"> HYPERLINK "mailto:gabrijela.rosic@stat.gov.rs" </w:instrText>
      </w:r>
      <w:r>
        <w:rPr>
          <w:rFonts w:ascii="Arial" w:hAnsi="Arial"/>
          <w:sz w:val="18"/>
        </w:rPr>
        <w:fldChar w:fldCharType="separate"/>
      </w:r>
      <w:r>
        <w:rPr>
          <w:rStyle w:val="C2"/>
          <w:rFonts w:ascii="Arial" w:hAnsi="Arial"/>
          <w:sz w:val="18"/>
          <w:u w:val="none"/>
        </w:rPr>
        <w:t>gabrijela.rosic@stat.gov.rs</w:t>
      </w:r>
      <w:r>
        <w:rPr>
          <w:rStyle w:val="C2"/>
          <w:rFonts w:ascii="Arial" w:hAnsi="Arial"/>
          <w:sz w:val="18"/>
          <w:u w:val="none"/>
        </w:rPr>
        <w:fldChar w:fldCharType="end"/>
      </w:r>
      <w:r>
        <w:rPr>
          <w:rFonts w:ascii="Arial" w:hAnsi="Arial"/>
          <w:sz w:val="18"/>
        </w:rPr>
        <w:t>, телефон: 011 2412-922, локал 260</w:t>
      </w: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021" w:right="1021" w:top="1021" w:bottom="1021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jc w:val="center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  <w:tblCellMar>
        <w:left w:w="28" w:type="dxa"/>
        <w:right w:w="28" w:type="dxa"/>
      </w:tblCellMar>
    </w:tblPr>
    <w:tblGrid/>
    <w:tr>
      <w:trPr>
        <w:wAfter w:w="0" w:type="dxa"/>
      </w:trPr>
      <w:tc>
        <w:tcPr>
          <w:tcW w:w="4933" w:type="dxa"/>
        </w:tcPr>
        <w:p>
          <w:pPr>
            <w:pStyle w:val="P13"/>
            <w:spacing w:before="40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933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spacing w:before="4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СРБ256</w:t>
          </w:r>
          <w:r>
            <w:rPr>
              <w:rFonts w:ascii="Arial" w:hAnsi="Arial"/>
              <w:color w:val="FF0000"/>
              <w:sz w:val="16"/>
            </w:rPr>
            <w:t xml:space="preserve"> </w:t>
          </w:r>
          <w:r>
            <w:rPr>
              <w:rFonts w:ascii="Arial" w:hAnsi="Arial"/>
              <w:sz w:val="16"/>
            </w:rPr>
            <w:t>ГР30 160913</w:t>
          </w:r>
        </w:p>
      </w:tc>
    </w:tr>
  </w:tbl>
  <w:p>
    <w:pPr>
      <w:pStyle w:val="P13"/>
      <w:jc w:val="right"/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352D8D"/>
    <w:multiLevelType w:val="hybridMultilevel"/>
    <w:lvl w:ilvl="0" w:tplc="0A83729D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1CB59D6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9A00EA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EB830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03468F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39A12B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9C5378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5E6FB2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FF5791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49322F7"/>
    <w:multiLevelType w:val="hybridMultilevel"/>
    <w:lvl w:ilvl="0" w:tplc="61F3B6F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658A924C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5D411343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4B3571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F1CCAC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D3C692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44B2E8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EFF881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060A60D5"/>
    <w:multiLevelType w:val="hybridMultilevel"/>
    <w:lvl w:ilvl="0" w:tplc="534E84E0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158EF13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224A56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768DC3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3D44FFF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3293A6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730CF92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24D0B3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36775048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62A0200"/>
    <w:multiLevelType w:val="hybridMultilevel"/>
    <w:lvl w:ilvl="0" w:tplc="07BE0DCD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7DA13BE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1B3466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E331BAD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4FC1B37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54C011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676F69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D9857C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5213C69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28FE49B9"/>
    <w:multiLevelType w:val="hybridMultilevel"/>
    <w:lvl w:ilvl="0" w:tplc="6EE8695E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7FB79B8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7745F597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64F3B9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5D8FAB0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7968B0D8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659F9C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3E4C0B1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C60827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2F7A1E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39EE321F"/>
    <w:multiLevelType w:val="hybridMultilevel"/>
    <w:lvl w:ilvl="0" w:tplc="464098D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AE2493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4EBAD3F8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9D3439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2EC0FBD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2B010A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7D576D5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5F17862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8D6F2C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340A6"/>
    <w:multiLevelType w:val="hybridMultilevel"/>
    <w:lvl w:ilvl="0" w:tplc="2BFE5A9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DDCFF4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D3E72A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98C62F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26F4019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D9E77C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9BD19A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BDC05E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C23FBA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AA85445"/>
    <w:multiLevelType w:val="hybridMultilevel"/>
    <w:lvl w:ilvl="0" w:tplc="2433B4BF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41C25D64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CF79CC0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03E9239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6CA1DAE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71B005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D09053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E53FFC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49392FE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3F81719"/>
    <w:multiLevelType w:val="hybridMultilevel"/>
    <w:lvl w:ilvl="0" w:tplc="37B99285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2CFF4A4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FB5F68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8BBF48C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410EE37B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9603F3E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66C8B7F1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0F037B7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76AC301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55195820"/>
    <w:multiLevelType w:val="hybridMultilevel"/>
    <w:lvl w:ilvl="0" w:tplc="67BC7C4E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1DEACA35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AB52D25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F0336B5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065DA5D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F0AA2D3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C750F48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1A789D0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FBB587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5FE112DF"/>
    <w:multiLevelType w:val="hybridMultilevel"/>
    <w:lvl w:ilvl="0" w:tplc="04D554EB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355C075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D485C7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9A77EC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C9222E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9FCF5C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D44B63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226450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222644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76E3BF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C5F4DFD"/>
    <w:multiLevelType w:val="hybridMultilevel"/>
    <w:lvl w:ilvl="0" w:tplc="3F68E6B7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260207A1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4182C8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79FD49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CCA3F61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64980FF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E1C7DAD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01BE54F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8F22F1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FB4291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7920FC45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" w:hAnsi="Arial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E571AD5"/>
    <w:multiLevelType w:val="hybridMultilevel"/>
    <w:lvl w:ilvl="0" w:tplc="03426705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6CCE1BC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3DE346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2C3AB0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17F096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633B5C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2009D5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DF13CB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16ECF7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Car Car"/>
    <w:basedOn w:val="P0"/>
    <w:next w:val="P24"/>
    <w:link w:val="C0"/>
    <w:pPr>
      <w:spacing w:lineRule="exact" w:line="240" w:after="160"/>
    </w:pPr>
    <w:rPr>
      <w:rFonts w:ascii="Verdana" w:hAnsi="Verdana"/>
      <w:i w:val="1"/>
      <w:sz w:val="20"/>
    </w:rPr>
  </w:style>
  <w:style w:type="paragraph" w:styleId="P25">
    <w:name w:val="Body Text First Indent"/>
    <w:basedOn w:val="P12"/>
    <w:next w:val="P25"/>
    <w:pPr>
      <w:numPr>
        <w:numId w:val="17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26">
    <w:name w:val="Comment Subject"/>
    <w:basedOn w:val="P19"/>
    <w:next w:val="P19"/>
    <w:pPr/>
    <w:rPr>
      <w:b w:val="1"/>
    </w:rPr>
  </w:style>
  <w:style w:type="paragraph" w:styleId="P27">
    <w:name w:val="Naslov saopstenja"/>
    <w:basedOn w:val="P22"/>
    <w:next w:val="P23"/>
    <w:pPr>
      <w:spacing w:after="0"/>
    </w:pPr>
    <w:rPr>
      <w:sz w:val="24"/>
    </w:rPr>
  </w:style>
  <w:style w:type="paragraph" w:styleId="P28">
    <w:name w:val="Tekst Metodologija i Napomena"/>
    <w:basedOn w:val="P25"/>
    <w:next w:val="P12"/>
    <w:pPr>
      <w:spacing w:before="120" w:after="0"/>
      <w:ind w:firstLine="397"/>
      <w:jc w:val="both"/>
    </w:pPr>
    <w:rPr/>
  </w:style>
  <w:style w:type="character" w:styleId="C0" w:default="1">
    <w:name w:val="Default Paragraph Font"/>
    <w:link w:val="P24"/>
    <w:semiHidden/>
    <w:rPr>
      <w:rFonts w:ascii="Verdana" w:hAnsi="Verdana"/>
      <w:i w:val="1"/>
      <w:sz w:val="20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Dejana Djordjevic</dc:creator>
  <dcterms:created xsi:type="dcterms:W3CDTF">2013-09-16T06:16:00Z</dcterms:created>
  <cp:lastModifiedBy>Nikola Kapetanovic</cp:lastModifiedBy>
  <cp:lastPrinted>2013-08-14T06:39:00Z</cp:lastPrinted>
  <dcterms:modified xsi:type="dcterms:W3CDTF">2020-01-10T11:17:21Z</dcterms:modified>
  <cp:revision>3</cp:revision>
  <dc:title>Република Србија</dc:title>
</cp:coreProperties>
</file>