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0DB0AB" Type="http://schemas.openxmlformats.org/officeDocument/2006/relationships/officeDocument" Target="/word/document.xml" /><Relationship Id="coreR180DB0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СK1</w:t>
            </w:r>
            <w:r>
              <w:rPr>
                <w:b w:val="1"/>
                <w:color w:val="808080"/>
                <w:sz w:val="48"/>
              </w:rPr>
              <w:t>1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200 - год. LXIII, 15.07.2013.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правосуђа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СРБ200 СК11 150713</w:t>
            </w:r>
          </w:p>
        </w:tc>
      </w:tr>
    </w:tbl>
    <w:p>
      <w:pPr>
        <w:pStyle w:val="P44"/>
      </w:pPr>
    </w:p>
    <w:p>
      <w:pPr>
        <w:pStyle w:val="P44"/>
      </w:pPr>
      <w:r>
        <w:t>Малолетни учиниоци кривичних дела у Републици Србији, 2012.</w:t>
      </w:r>
    </w:p>
    <w:p>
      <w:pPr>
        <w:pStyle w:val="P12"/>
      </w:pPr>
    </w:p>
    <w:p>
      <w:pPr>
        <w:pStyle w:val="P47"/>
      </w:pPr>
      <w:r>
        <w:t xml:space="preserve">У овом саопштењу Републички завод за статистику објављује основне податке о криминалитету малолетних учиниоца кривичних дела у 2012. години: пријављени, оптужени и осуђени малолетници према кривичном делу, полу, старости и кривичној санкцији. Подаци се прикупљају редовним статистичким истраживањима на основу индивидуалних упитника, која попуњавају надлежна виша јавна тужилаштва и надлежни виши судови. Ради потпунијег сагледавања кретања ове појаве дати су основни показатељи за период 2008–2012. године. </w:t>
      </w:r>
    </w:p>
    <w:p>
      <w:pPr>
        <w:pStyle w:val="P47"/>
      </w:pPr>
      <w:r>
        <w:t>Јединица посматрања је малолетни учинилац кривичног дела (малолетник), а кривично дело је учинио као извршилац, саизвршилац, подстрекач или помагач.</w:t>
      </w:r>
    </w:p>
    <w:p>
      <w:pPr>
        <w:pStyle w:val="P47"/>
      </w:pPr>
      <w:r>
        <w:t>Малолетним учиниоцима кривичних дела сматрају се лица која су у време извршења кривичног дела имала навршених 14 година живота, а нису навршила 18 година.</w:t>
      </w:r>
    </w:p>
    <w:p>
      <w:pPr>
        <w:pStyle w:val="P47"/>
      </w:pPr>
      <w:r>
        <w:t>„Пријављено малолетно лице“</w:t>
      </w:r>
      <w:r>
        <w:rPr>
          <w:i w:val="1"/>
        </w:rPr>
        <w:t xml:space="preserve"> </w:t>
      </w:r>
      <w:r>
        <w:t>је малолетник према коме поступак по кривичној пријави није покренут (пријава одбачена), према коме је припремни поступак обустављен или је поднет предлог већу за малолетнике за изрицање казне или васпитне мере.</w:t>
      </w:r>
    </w:p>
    <w:p>
      <w:pPr>
        <w:pStyle w:val="P47"/>
      </w:pPr>
      <w:r>
        <w:t>Под појмом „оптужено малолетно лице“</w:t>
      </w:r>
      <w:r>
        <w:rPr>
          <w:i w:val="1"/>
        </w:rPr>
        <w:t xml:space="preserve"> </w:t>
      </w:r>
      <w:r>
        <w:t>подразумева се малолетник према коме је поднет предлог већу за малолетнике за изрицање казне, односно васпитне мере, те је поступак пред већем завршен одлуком којом је: обустављен поступак пред већем, изречена мера безбедности без изрицања санкције, или изречен малолетнички затвор или васпитна мера.</w:t>
      </w:r>
    </w:p>
    <w:p>
      <w:pPr>
        <w:pStyle w:val="P47"/>
      </w:pPr>
      <w:r>
        <w:t>„Осуђено малолетно лице“</w:t>
      </w:r>
      <w:r>
        <w:rPr>
          <w:i w:val="1"/>
        </w:rPr>
        <w:t xml:space="preserve"> </w:t>
      </w:r>
      <w:r>
        <w:t>је малолетни учинилац кривичног дела према коме је изречена санкција – малолетнички затвор или васпитна мера.</w:t>
      </w:r>
    </w:p>
    <w:p>
      <w:pPr>
        <w:pStyle w:val="P47"/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pStyle w:val="P47"/>
      </w:pPr>
      <w:r>
        <w:t xml:space="preserve">У 2012. години, према малолетним учиниоцима кривичних дела примењени су васпитни налози: јавни тужилац за малолетнике је у 106 случајева применио васпитни налог, а у 20 случајева судија за малолетнике (члан 7 Закона о малолетним учиниоцима кривичних дела и кривичнo-правној заштити малолетних лица). </w:t>
      </w:r>
    </w:p>
    <w:p>
      <w:pPr>
        <w:pStyle w:val="P16"/>
      </w:pPr>
    </w:p>
    <w:p>
      <w:pPr>
        <w:pStyle w:val="P16"/>
      </w:pPr>
    </w:p>
    <w:p>
      <w:pPr>
        <w:pStyle w:val="P25"/>
      </w:pPr>
      <w:r>
        <w:t>Малолетни учиниоци кривичних дела, 2008–2012.</w:t>
      </w:r>
    </w:p>
    <w:p>
      <w:pPr>
        <w:pStyle w:val="P25"/>
        <w:numPr>
          <w:ilvl w:val="0"/>
          <w:numId w:val="0"/>
        </w:numPr>
        <w:spacing w:before="0" w:after="40"/>
        <w:jc w:val="left"/>
        <w:rPr>
          <w:sz w:val="18"/>
        </w:rPr>
      </w:pPr>
      <w:r>
        <w:rPr>
          <w:sz w:val="18"/>
        </w:rPr>
        <w:t>Република Србија</w:t>
      </w:r>
    </w:p>
    <w:tbl>
      <w:tblPr>
        <w:tblStyle w:val="T2"/>
        <w:tblW w:w="1019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722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29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Укупан број</w:t>
            </w:r>
          </w:p>
        </w:tc>
        <w:tc>
          <w:tcPr>
            <w:tcW w:w="3181" w:type="dxa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Индекси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vMerge w:val="continue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5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85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85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85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858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60" w:after="6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2009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60" w:after="6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2010</w:t>
            </w:r>
          </w:p>
        </w:tc>
        <w:tc>
          <w:tcPr>
            <w:tcW w:w="6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60" w:after="6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2011</w:t>
            </w:r>
          </w:p>
        </w:tc>
        <w:tc>
          <w:tcPr>
            <w:tcW w:w="6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60" w:after="6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2012</w:t>
            </w:r>
          </w:p>
        </w:tc>
        <w:tc>
          <w:tcPr>
            <w:tcW w:w="6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60" w:after="6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2012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85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85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85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85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858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636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63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63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63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>
        <w:trPr>
          <w:wAfter w:w="0" w:type="dxa"/>
          <w:trHeight w:hRule="atLeast" w:val="20"/>
        </w:trPr>
        <w:tc>
          <w:tcPr>
            <w:tcW w:w="10193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Кривичне пријаве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sz w:val="16"/>
              </w:rPr>
              <w:t xml:space="preserve"> Укупно</w:t>
            </w:r>
          </w:p>
        </w:tc>
        <w:tc>
          <w:tcPr>
            <w:tcW w:w="858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4085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3497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3747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4323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3913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</w:tr>
      <w:tr>
        <w:trPr>
          <w:wAfter w:w="0" w:type="dxa"/>
          <w:trHeight w:hRule="atLeast" w:val="20"/>
        </w:trPr>
        <w:tc>
          <w:tcPr>
            <w:tcW w:w="10193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Оптужења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sz w:val="16"/>
              </w:rPr>
              <w:t>Укупно</w:t>
            </w:r>
          </w:p>
        </w:tc>
        <w:tc>
          <w:tcPr>
            <w:tcW w:w="858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2833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2465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2205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3140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2946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</w:tr>
      <w:tr>
        <w:trPr>
          <w:wAfter w:w="0" w:type="dxa"/>
          <w:trHeight w:hRule="atLeast" w:val="20"/>
        </w:trPr>
        <w:tc>
          <w:tcPr>
            <w:tcW w:w="10193" w:type="dxa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</w:t>
            </w:r>
            <w:r>
              <w:rPr>
                <w:b w:val="1"/>
                <w:sz w:val="16"/>
              </w:rPr>
              <w:t>суде</w:t>
            </w:r>
            <w:r>
              <w:rPr>
                <w:b w:val="1"/>
                <w:sz w:val="16"/>
              </w:rPr>
              <w:t xml:space="preserve">                                </w:t>
            </w:r>
          </w:p>
        </w:tc>
      </w:tr>
      <w:tr>
        <w:trPr>
          <w:wAfter w:w="0" w:type="dxa"/>
          <w:trHeight w:hRule="atLeast" w:val="20"/>
        </w:trPr>
        <w:tc>
          <w:tcPr>
            <w:tcW w:w="272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sz w:val="16"/>
              </w:rPr>
              <w:t xml:space="preserve"> Укупно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2229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1902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1640</w:t>
            </w:r>
          </w:p>
        </w:tc>
        <w:tc>
          <w:tcPr>
            <w:tcW w:w="858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2290</w:t>
            </w:r>
          </w:p>
        </w:tc>
        <w:tc>
          <w:tcPr>
            <w:tcW w:w="858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2302</w:t>
            </w:r>
          </w:p>
        </w:tc>
        <w:tc>
          <w:tcPr>
            <w:tcW w:w="636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36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637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</w:tr>
    </w:tbl>
    <w:p>
      <w:pPr>
        <w:pStyle w:val="P30"/>
      </w:pPr>
    </w:p>
    <w:p>
      <w:pPr>
        <w:pStyle w:val="P30"/>
      </w:pPr>
    </w:p>
    <w:p>
      <w:pPr>
        <w:pStyle w:val="P30"/>
      </w:pPr>
    </w:p>
    <w:p>
      <w:pPr>
        <w:pStyle w:val="P25"/>
        <w:numPr>
          <w:ilvl w:val="0"/>
          <w:numId w:val="0"/>
        </w:numPr>
      </w:pPr>
      <w:r>
        <w:t>2. Малолетници – кривичне пријаве, према кривичном делу, 2008–2012.</w:t>
      </w:r>
    </w:p>
    <w:p>
      <w:pPr>
        <w:pStyle w:val="P19"/>
        <w:spacing w:lineRule="auto" w:line="240" w:after="40"/>
        <w:ind w:left="0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29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4"/>
              </w:rPr>
            </w:pPr>
            <w:bookmarkStart w:id="0" w:name="OLE_LINK1"/>
            <w:bookmarkStart w:id="1" w:name="_Hlk265576532"/>
            <w:bookmarkStart w:id="2" w:name="OLE_LINK2"/>
            <w:r>
              <w:rPr>
                <w:sz w:val="16"/>
              </w:rPr>
              <w:t>Кривична дела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30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  <w:trHeight w:hRule="atLeast" w:val="20"/>
        </w:trPr>
        <w:tc>
          <w:tcPr>
            <w:tcW w:w="3629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120" w:after="120"/>
              <w:rPr>
                <w:sz w:val="14"/>
              </w:rPr>
            </w:pPr>
            <w:bookmarkEnd w:id="0"/>
            <w:bookmarkEnd w:id="1"/>
            <w:bookmarkEnd w:id="2"/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629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4085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3497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3747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4323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3913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живота и тела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13,2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12,9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слобода и права човека и грађанина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полне слободе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здравља људи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привреде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имовине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2471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60,5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2142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57,2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2450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2238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57,2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безбедности јавног саобраћаја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јавног реда и мира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10,3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11,8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Остала кривична дела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</w:tr>
    </w:tbl>
    <w:p>
      <w:pPr>
        <w:spacing w:after="120"/>
        <w:jc w:val="center"/>
        <w:rPr>
          <w:b w:val="1"/>
          <w:sz w:val="14"/>
        </w:rPr>
      </w:pPr>
    </w:p>
    <w:p>
      <w:pPr>
        <w:spacing w:after="120"/>
        <w:jc w:val="center"/>
        <w:rPr>
          <w:b w:val="1"/>
          <w:sz w:val="14"/>
        </w:rPr>
      </w:pPr>
    </w:p>
    <w:p>
      <w:pPr>
        <w:spacing w:after="120"/>
        <w:jc w:val="center"/>
        <w:rPr>
          <w:b w:val="1"/>
        </w:rPr>
      </w:pPr>
      <w:r>
        <w:rPr>
          <w:b w:val="1"/>
          <w:sz w:val="14"/>
        </w:rPr>
        <w:t xml:space="preserve">    </w:t>
      </w:r>
    </w:p>
    <w:p>
      <w:pPr>
        <w:pStyle w:val="P25"/>
        <w:numPr>
          <w:ilvl w:val="0"/>
          <w:numId w:val="0"/>
        </w:numPr>
        <w:spacing w:before="240"/>
      </w:pPr>
      <w:r>
        <w:t xml:space="preserve">3. Малолетници – поднет предлог већу за изрицање кривичне санкције, према кривичном делу,                   2008–2012.</w:t>
      </w:r>
    </w:p>
    <w:p>
      <w:pPr>
        <w:spacing w:after="40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10150" w:type="dxa"/>
        <w:jc w:val="center"/>
        <w:tblLayout w:type="autofit"/>
      </w:tblPr>
      <w:tblGrid/>
      <w:tr>
        <w:trPr>
          <w:wAfter w:w="0" w:type="dxa"/>
          <w:trHeight w:hRule="atLeast" w:val="20"/>
        </w:trPr>
        <w:tc>
          <w:tcPr>
            <w:tcW w:w="3629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4"/>
              </w:rPr>
            </w:pPr>
            <w:r>
              <w:rPr>
                <w:sz w:val="16"/>
              </w:rPr>
              <w:t>Кривична дела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30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  <w:trHeight w:hRule="atLeast" w:val="20"/>
        </w:trPr>
        <w:tc>
          <w:tcPr>
            <w:tcW w:w="3629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120" w:after="120"/>
              <w:rPr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629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2833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2465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2205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3140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2946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живота и тела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15,0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12,1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слобода и права човека и грађанина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полне слободе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здравља људи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привреде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имовине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1807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63,8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1424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57,8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1256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57,0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1754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55,9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1633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55,4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безбедности јавног саобраћаја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јавног реда и мира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10,2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13,2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Остала кривична дела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</w:tr>
    </w:tbl>
    <w:p>
      <w:pPr>
        <w:pStyle w:val="P19"/>
        <w:ind w:firstLine="664" w:left="56"/>
        <w:rPr>
          <w:sz w:val="10"/>
        </w:rPr>
      </w:pPr>
    </w:p>
    <w:p>
      <w:pPr>
        <w:pStyle w:val="P19"/>
        <w:ind w:firstLine="664" w:left="56"/>
        <w:rPr>
          <w:sz w:val="10"/>
        </w:rPr>
      </w:pPr>
    </w:p>
    <w:p>
      <w:pPr>
        <w:pStyle w:val="P19"/>
        <w:ind w:firstLine="664" w:left="56"/>
        <w:rPr>
          <w:sz w:val="10"/>
        </w:rPr>
      </w:pPr>
    </w:p>
    <w:p>
      <w:pPr>
        <w:pStyle w:val="P25"/>
        <w:numPr>
          <w:ilvl w:val="0"/>
          <w:numId w:val="0"/>
        </w:numPr>
        <w:spacing w:before="240"/>
      </w:pPr>
      <w:r>
        <w:t>4. Малолетници – изречене кривичне санкције, према кривичном делу, 2008–2012.</w:t>
      </w:r>
    </w:p>
    <w:p>
      <w:pPr>
        <w:spacing w:after="40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629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4"/>
              </w:rPr>
            </w:pPr>
            <w:r>
              <w:rPr>
                <w:sz w:val="16"/>
              </w:rPr>
              <w:t>Кривична дела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30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  <w:trHeight w:hRule="atLeast" w:val="20"/>
        </w:trPr>
        <w:tc>
          <w:tcPr>
            <w:tcW w:w="3629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120" w:after="120"/>
              <w:rPr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629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2229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  <w:r>
              <w:rPr>
                <w:b w:val="1"/>
                <w:sz w:val="16"/>
              </w:rPr>
              <w:t>0,0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1902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1640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2290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2302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живота и тела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14,4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11,4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слобода и права човека и грађанина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полне слободе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здравља људи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привреде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имовине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1424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63,9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1091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57,4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960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58,5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1305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57,0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1316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57,2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безбедности јавног саобраћаја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Против јавног реда и мира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10,3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9,4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12,7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</w:tr>
      <w:tr>
        <w:trPr>
          <w:wAfter w:w="0" w:type="dxa"/>
        </w:trPr>
        <w:tc>
          <w:tcPr>
            <w:tcW w:w="3629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Остала кривична дела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7,3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</w:tr>
    </w:tbl>
    <w:p>
      <w:pPr>
        <w:pStyle w:val="P25"/>
        <w:numPr>
          <w:ilvl w:val="0"/>
          <w:numId w:val="0"/>
        </w:numPr>
        <w:spacing w:before="240"/>
        <w:ind w:hanging="284" w:left="284"/>
      </w:pPr>
    </w:p>
    <w:p>
      <w:pPr>
        <w:pStyle w:val="P19"/>
        <w:ind w:firstLine="664" w:left="56"/>
        <w:rPr>
          <w:sz w:val="8"/>
        </w:rPr>
      </w:pPr>
    </w:p>
    <w:p>
      <w:pPr>
        <w:pStyle w:val="P19"/>
        <w:ind w:firstLine="664" w:left="56"/>
        <w:rPr>
          <w:sz w:val="8"/>
        </w:rPr>
      </w:pPr>
    </w:p>
    <w:p>
      <w:pPr>
        <w:pStyle w:val="P19"/>
        <w:ind w:firstLine="664" w:left="56"/>
        <w:rPr>
          <w:sz w:val="8"/>
        </w:rPr>
      </w:pPr>
    </w:p>
    <w:p>
      <w:pPr>
        <w:pStyle w:val="P25"/>
        <w:numPr>
          <w:ilvl w:val="0"/>
          <w:numId w:val="0"/>
        </w:numPr>
        <w:spacing w:lineRule="auto" w:line="228" w:after="0"/>
      </w:pPr>
      <w:r>
        <w:t>5. Малолетници – изречене кривичне санкције, према старости и полу, 2008–2012.</w:t>
      </w:r>
    </w:p>
    <w:p>
      <w:pPr>
        <w:spacing w:lineRule="auto" w:line="228" w:after="40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531" w:type="dxa"/>
            <w:vMerge w:val="restart"/>
            <w:tcBorders>
              <w:top w:val="single" w:sz="4" w:space="0" w:shadow="0" w:frame="0"/>
              <w:lef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 w:before="120" w:after="120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>
            <w:pPr>
              <w:spacing w:lineRule="auto" w:line="228" w:before="120" w:after="120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rPr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5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5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 w:before="120" w:after="120"/>
              <w:rPr>
                <w:sz w:val="14"/>
              </w:rPr>
            </w:pPr>
          </w:p>
        </w:tc>
        <w:tc>
          <w:tcPr>
            <w:tcW w:w="680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rPr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</w:t>
            </w:r>
            <w:r>
              <w:rPr>
                <w:b w:val="1"/>
                <w:sz w:val="16"/>
              </w:rPr>
              <w:t>купно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                                       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Ж</w:t>
            </w:r>
            <w:r>
              <w:rPr>
                <w:b w:val="1"/>
                <w:sz w:val="16"/>
              </w:rPr>
              <w:t>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2229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1640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2290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 xml:space="preserve"> 14 година                         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19,2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18,1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17,4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17,7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17,6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 xml:space="preserve">Жене 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20,2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19,6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19,7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 xml:space="preserve"> 15                         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25,3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23,5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23,5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25,1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 xml:space="preserve">Жене 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32,1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30,9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29,4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26,9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 xml:space="preserve"> 16                        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28,9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30,9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29,7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29,4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30,6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 xml:space="preserve">Жене 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29,4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29,4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34,5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27,9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 xml:space="preserve"> 17 година                         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26,6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27,5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29,5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27,9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26,7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 xml:space="preserve">Жене  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21,6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21,4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26,2</w:t>
            </w:r>
          </w:p>
        </w:tc>
      </w:tr>
    </w:tbl>
    <w:p>
      <w:pPr>
        <w:spacing w:lineRule="auto" w:line="228"/>
        <w:jc w:val="center"/>
        <w:rPr>
          <w:b w:val="1"/>
        </w:rPr>
      </w:pPr>
    </w:p>
    <w:p>
      <w:pPr>
        <w:spacing w:lineRule="auto" w:line="228"/>
        <w:jc w:val="center"/>
        <w:rPr>
          <w:b w:val="1"/>
        </w:rPr>
      </w:pPr>
    </w:p>
    <w:p>
      <w:pPr>
        <w:pStyle w:val="P25"/>
        <w:numPr>
          <w:ilvl w:val="0"/>
          <w:numId w:val="0"/>
        </w:numPr>
        <w:spacing w:lineRule="auto" w:line="228" w:before="0" w:after="60"/>
      </w:pPr>
      <w:r>
        <w:t>6. Малолетници према изреченим кривичним санкцијама, 2008–2012.</w:t>
      </w:r>
    </w:p>
    <w:p>
      <w:pPr>
        <w:spacing w:lineRule="auto" w:line="228" w:after="40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2835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ind w:right="-57"/>
              <w:rPr>
                <w:sz w:val="16"/>
              </w:rPr>
            </w:pPr>
            <w:r>
              <w:rPr>
                <w:sz w:val="16"/>
              </w:rPr>
              <w:t> </w:t>
            </w:r>
          </w:p>
          <w:p>
            <w:pPr>
              <w:spacing w:lineRule="auto" w:line="228"/>
              <w:ind w:right="-57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47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47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47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47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  <w:trHeight w:hRule="atLeast" w:val="284"/>
        </w:trPr>
        <w:tc>
          <w:tcPr>
            <w:tcW w:w="2835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ind w:right="-57"/>
              <w:rPr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број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ind w:right="-57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2229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1902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1640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2290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2302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100,0</w:t>
            </w:r>
          </w:p>
        </w:tc>
      </w:tr>
      <w:tr>
        <w:trPr>
          <w:wAfter w:w="0" w:type="dxa"/>
          <w:trHeight w:hRule="atLeast" w:val="122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Млађи малолетници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992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44,5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41,6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40,9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979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42,8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984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42,7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Васпитне мере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992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44,5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41,6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40,9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979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42,8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984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42,7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40"/>
              <w:rPr>
                <w:sz w:val="16"/>
              </w:rPr>
            </w:pPr>
            <w:r>
              <w:rPr>
                <w:sz w:val="16"/>
              </w:rPr>
              <w:t>Мере упозорења и усмеравања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19,1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19,7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40"/>
              <w:rPr>
                <w:sz w:val="16"/>
              </w:rPr>
            </w:pPr>
            <w:r>
              <w:rPr>
                <w:sz w:val="16"/>
              </w:rPr>
              <w:t>Мере појачаног надзора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20,6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20,3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20,4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20,5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40"/>
              <w:rPr>
                <w:sz w:val="16"/>
              </w:rPr>
            </w:pPr>
            <w:r>
              <w:rPr>
                <w:sz w:val="16"/>
              </w:rPr>
              <w:t>Заводске мере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Старији малолетници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1237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55,5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1111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58,4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970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59,1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1311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57,2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1318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57,3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Малолетнички затвор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40"/>
              <w:rPr>
                <w:sz w:val="16"/>
              </w:rPr>
            </w:pPr>
            <w:r>
              <w:rPr>
                <w:sz w:val="16"/>
              </w:rPr>
              <w:t>Преко 5 до 10 година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40"/>
              <w:rPr>
                <w:sz w:val="16"/>
              </w:rPr>
            </w:pPr>
            <w:r>
              <w:rPr>
                <w:sz w:val="16"/>
              </w:rPr>
              <w:t>Преко 2 године до 5 година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40"/>
              <w:rPr>
                <w:sz w:val="16"/>
              </w:rPr>
            </w:pPr>
            <w:r>
              <w:rPr>
                <w:sz w:val="16"/>
              </w:rPr>
              <w:t>Преко 6 месеци до 2 године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227"/>
              <w:rPr>
                <w:sz w:val="16"/>
              </w:rPr>
            </w:pPr>
            <w:r>
              <w:rPr>
                <w:sz w:val="16"/>
              </w:rPr>
              <w:t>Васпитне мере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1220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54,7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1092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57,4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965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58,8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1298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56,7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1316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57,2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40"/>
              <w:rPr>
                <w:sz w:val="16"/>
              </w:rPr>
            </w:pPr>
            <w:r>
              <w:rPr>
                <w:sz w:val="16"/>
              </w:rPr>
              <w:t>Мере упозорења и усмеравања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21,5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24,8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26,3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23,2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40"/>
              <w:rPr>
                <w:sz w:val="16"/>
              </w:rPr>
            </w:pPr>
            <w:r>
              <w:rPr>
                <w:sz w:val="16"/>
              </w:rPr>
              <w:t>Мере појачаног надзора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30,7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30,1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30,2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31,6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left="340"/>
              <w:rPr>
                <w:sz w:val="16"/>
              </w:rPr>
            </w:pPr>
            <w:r>
              <w:rPr>
                <w:sz w:val="16"/>
              </w:rPr>
              <w:t>Заводске мере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</w:tbl>
    <w:p>
      <w:pPr>
        <w:spacing w:lineRule="auto" w:line="228"/>
        <w:jc w:val="center"/>
        <w:rPr>
          <w:b w:val="1"/>
        </w:rPr>
      </w:pPr>
    </w:p>
    <w:p>
      <w:pPr>
        <w:spacing w:lineRule="auto" w:line="228"/>
        <w:jc w:val="center"/>
        <w:rPr>
          <w:b w:val="1"/>
        </w:rPr>
      </w:pPr>
    </w:p>
    <w:p>
      <w:pPr>
        <w:pStyle w:val="P25"/>
        <w:numPr>
          <w:ilvl w:val="0"/>
          <w:numId w:val="0"/>
        </w:numPr>
        <w:spacing w:lineRule="auto" w:line="228" w:before="0" w:after="60"/>
      </w:pPr>
      <w:r>
        <w:t xml:space="preserve">7. Малолетници – кривичне пријаве, према кривичном делу, 2012. 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74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Кривична дела</w:t>
            </w:r>
          </w:p>
        </w:tc>
        <w:tc>
          <w:tcPr>
            <w:tcW w:w="646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74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154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3231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374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107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077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3913</w:t>
            </w:r>
          </w:p>
        </w:tc>
        <w:tc>
          <w:tcPr>
            <w:tcW w:w="107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368</w:t>
            </w:r>
          </w:p>
        </w:tc>
        <w:tc>
          <w:tcPr>
            <w:tcW w:w="1077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1154</w:t>
            </w:r>
          </w:p>
        </w:tc>
        <w:tc>
          <w:tcPr>
            <w:tcW w:w="107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1262</w:t>
            </w:r>
          </w:p>
        </w:tc>
        <w:tc>
          <w:tcPr>
            <w:tcW w:w="1077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1129</w:t>
            </w:r>
          </w:p>
        </w:tc>
        <w:tc>
          <w:tcPr>
            <w:tcW w:w="1077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живота и тела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451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Убиство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Тешко убиство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Тешка телесна повреда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Лака телесна повреда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Учествовање у тучи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Угрожавање опасним оруђем при тучи и свађи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Излагање опасности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слобода и права човека и грађанина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077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части и угледа</w:t>
            </w:r>
          </w:p>
        </w:tc>
        <w:tc>
          <w:tcPr>
            <w:tcW w:w="1077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</w:t>
            </w:r>
          </w:p>
        </w:tc>
        <w:tc>
          <w:tcPr>
            <w:tcW w:w="1077" w:type="dxa"/>
            <w:tcBorders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077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полне слободе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Силовање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Обљуба над немоћним лицем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Обљуба са дететом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Недозвољене полне радње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</w:tbl>
    <w:p>
      <w:pPr>
        <w:pStyle w:val="P25"/>
        <w:numPr>
          <w:ilvl w:val="0"/>
          <w:numId w:val="0"/>
        </w:numPr>
        <w:spacing w:lineRule="auto" w:line="228" w:before="0" w:after="60"/>
        <w:rPr>
          <w:b w:val="1"/>
        </w:rPr>
      </w:pPr>
      <w:r>
        <w:t xml:space="preserve">7. Малолетници – кривичне пријаве, према кривичном делу, 2012. </w:t>
      </w:r>
      <w:r>
        <w:rPr>
          <w:b w:val="0"/>
        </w:rPr>
        <w:t>(наставак)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74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Кривична дела</w:t>
            </w:r>
          </w:p>
        </w:tc>
        <w:tc>
          <w:tcPr>
            <w:tcW w:w="646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74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b w:val="1"/>
                <w:sz w:val="1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154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3231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374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rPr>
                <w:b w:val="1"/>
                <w:sz w:val="16"/>
              </w:rPr>
            </w:pPr>
          </w:p>
        </w:tc>
        <w:tc>
          <w:tcPr>
            <w:tcW w:w="107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 w:color="00000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брака и породице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Ванбрачна заједница са малолетником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Одузимање малолетног лица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Насиље у породици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интелектуалне својине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имовине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2238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744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629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Крађа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Тешка крађа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Разбојничка крађа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Разбојништво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Утаја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Превара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Ситна крађа, утаја и превара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Одузимање туђе ствари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Уништење и оштећење туђе ствари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Неовлашћено коришћење туђег возила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Изнуда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Прикривање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привреде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здравља људи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156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Неовлашћена производња и стављање у промет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 опојних дрога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Неовлашћено држање опојних дрога 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Омогућавање уживања опојних дрога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животне средине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опште сигурности људи и имовине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безбедности јавног саобраћаја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125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Угрожавање јавног саобраћаја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Угрожавање саобраћаја опасном радњом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 и опасним средством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Непружање помоћи лицу повређеном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 у саобраћајној незгоди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уставног уређења и безбедности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Републике Србије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Изазивање националне, расне и верске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 мржње и нетрпељивости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државних органа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правосуђа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јавног реда и мира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528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166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96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Изазивање панике и нереда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Насилничко понашање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Насилничко понашање на спортској приредби 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Недозвољена производња, држање, ношење 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и промет оружја и експлозивних материја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Учествовање у групи која изврши кривично дело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Недозвољен прелаз државне границе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 и кријумчарење људи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Злоупотреба знака за помоћ и знака за опасност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Повреда гроба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правног саобраћаја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48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човечности и других добара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заштићених међународним правом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Трговина људима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Војске Србије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74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O</w:t>
            </w:r>
            <w:r>
              <w:rPr>
                <w:b w:val="1"/>
                <w:sz w:val="16"/>
              </w:rPr>
              <w:t>стала кривична дела из посебних закона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1077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10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</w:tbl>
    <w:p>
      <w:pPr>
        <w:spacing w:after="40"/>
        <w:jc w:val="center"/>
        <w:rPr>
          <w:b w:val="1"/>
        </w:rPr>
      </w:pPr>
    </w:p>
    <w:p>
      <w:pPr>
        <w:pStyle w:val="P45"/>
        <w:spacing w:after="60"/>
        <w:ind w:firstLine="0"/>
        <w:jc w:val="center"/>
        <w:rPr>
          <w:b w:val="1"/>
        </w:rPr>
      </w:pPr>
      <w:r>
        <w:rPr>
          <w:b w:val="1"/>
        </w:rPr>
        <w:t xml:space="preserve">8. </w:t>
      </w:r>
      <w:r>
        <w:rPr>
          <w:b w:val="1"/>
        </w:rPr>
        <w:t>Осуђена малолетна лица, према кривичном делу, полу, покушају и изреченим кривичним санкцијама, 2012.</w:t>
      </w:r>
    </w:p>
    <w:p>
      <w:pPr>
        <w:spacing w:lineRule="auto" w:line="228" w:after="40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40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Кривична дела</w:t>
            </w:r>
          </w:p>
        </w:tc>
        <w:tc>
          <w:tcPr>
            <w:tcW w:w="204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Мало-летнич-ки затвор</w:t>
            </w:r>
          </w:p>
        </w:tc>
        <w:tc>
          <w:tcPr>
            <w:tcW w:w="2720" w:type="dxa"/>
            <w:gridSpan w:val="4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Васпитне мере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Мере безбед-ности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Раније осуђи-вани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покушај</w:t>
            </w: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мере упозо-рења и усмера-вања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мере појача-ног надзо-ра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завод-ске мере</w:t>
            </w: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2302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2300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1200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304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живота и тела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Убиство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Тешко убиство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Тешка телесна повреда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Лака телесна повреда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Учествовање у тучи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Угрожавање опасним оруђем при тучи и свађи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слобода и права човека и грађанина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полне слободе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Силовање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Обљуба са дететом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Недозвољене полне радње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брака и породице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Насиље у породици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интелектуалне својине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имовине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545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687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210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Крађа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Тешка крађа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Разбојничка крађа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Разбојништво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Утаја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Превара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Ситна крађа, утаја и превара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Одузимање туђе ствари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Уништење и оштећење туђе ствари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Неовлашћено коришћење туђег возила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Изнуда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Прикривање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привреде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здравља људи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Неовлашћена производња и стављање у промет опојних дрога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Неовлашћено држање опојних дрога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Омогућавање уживања опојних дрога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животне средине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опште сигурности људи и имовине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безбедности јавног саобраћаја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Угрожавање јавног саобраћаја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Угрожавање саобраћаја опасном радњом и опасним средством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Непружање помоћи лицу повређеном у саобраћајној незгоди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безбедности рачунарских података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уставног уређења и безбедности Републике Србије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Изазивање националне, расне и верске мржње и нетрпељивости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/>
    <w:p>
      <w:pPr>
        <w:pStyle w:val="P45"/>
        <w:spacing w:after="60"/>
        <w:ind w:firstLine="0"/>
        <w:jc w:val="center"/>
        <w:rPr>
          <w:b w:val="1"/>
        </w:rPr>
      </w:pPr>
      <w:r>
        <w:rPr>
          <w:b w:val="1"/>
        </w:rPr>
        <w:t xml:space="preserve">8. </w:t>
      </w:r>
      <w:r>
        <w:rPr>
          <w:b w:val="1"/>
        </w:rPr>
        <w:t>Осуђена малолетна лица, према кривичном делу, полу, покушају и изреченим кривичним санкцијама, 2012.</w:t>
      </w:r>
    </w:p>
    <w:p>
      <w:pPr>
        <w:spacing w:lineRule="auto" w:line="228" w:after="40"/>
        <w:rPr>
          <w:b w:val="1"/>
          <w:sz w:val="18"/>
        </w:rPr>
      </w:pPr>
      <w:r>
        <w:rPr>
          <w:b w:val="1"/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40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Кривична дела</w:t>
            </w:r>
          </w:p>
        </w:tc>
        <w:tc>
          <w:tcPr>
            <w:tcW w:w="204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Мало-летнич-ки затвор</w:t>
            </w:r>
          </w:p>
        </w:tc>
        <w:tc>
          <w:tcPr>
            <w:tcW w:w="2720" w:type="dxa"/>
            <w:gridSpan w:val="4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Васпитне мере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Мере безбед-ности</w:t>
            </w:r>
          </w:p>
        </w:tc>
        <w:tc>
          <w:tcPr>
            <w:tcW w:w="68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Раније осуђи-вани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spacing w:lineRule="auto" w:line="216"/>
              <w:rPr>
                <w:b w:val="1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покушај</w:t>
            </w: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мере упозо-рења и усмера-вања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мере појача-ног надзо-ра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завод-ске мере</w:t>
            </w: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68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6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државних органа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правосуђа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јавног реда и мира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Изазивање панике и нереда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Насилничко понашање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Насилничко понашање на спортској приредби 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Договор за извршење кривичног дела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Израђивање и набављање оружја и средстава намењених за извршење кривичног дела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Недозвољена производња, држање, ношење и промет оружја и експлозивних материја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Учествовање у групи која изврши кривично дело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Недозвољен прелаз државне границе и кријумчарење људи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Злоупотреба знака за помоћ и знака за опасност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Повреда гроба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правног саобраћаја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Против службене дужности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O</w:t>
            </w:r>
            <w:r>
              <w:rPr>
                <w:b w:val="1"/>
                <w:sz w:val="16"/>
              </w:rPr>
              <w:t>стала кривична дела из посебних закона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1041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Београдски регион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Војводине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615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614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1260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1259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790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789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295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462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119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470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470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170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65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Косово и Метохија</w:t>
            </w:r>
          </w:p>
        </w:tc>
        <w:tc>
          <w:tcPr>
            <w:tcW w:w="68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6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</w:tbl>
    <w:p>
      <w:pPr>
        <w:pStyle w:val="P25"/>
        <w:numPr>
          <w:ilvl w:val="0"/>
          <w:numId w:val="0"/>
        </w:numPr>
      </w:pPr>
    </w:p>
    <w:p>
      <w:pPr>
        <w:pStyle w:val="P25"/>
        <w:numPr>
          <w:ilvl w:val="0"/>
          <w:numId w:val="0"/>
        </w:numPr>
      </w:pPr>
    </w:p>
    <w:p>
      <w:pPr>
        <w:pStyle w:val="P30"/>
      </w:pPr>
    </w:p>
    <w:p>
      <w:pPr>
        <w:pStyle w:val="P30"/>
      </w:pPr>
    </w:p>
    <w:p>
      <w:pPr>
        <w:pStyle w:val="P10"/>
        <w:tabs>
          <w:tab w:val="left" w:pos="384" w:leader="none"/>
          <w:tab w:val="center" w:pos="5102" w:leader="none"/>
        </w:tabs>
      </w:pPr>
      <w:r>
        <w:tab/>
        <w:t xml:space="preserve">        </w:t>
      </w:r>
    </w:p>
    <w:p/>
    <w:p/>
    <w:p/>
    <w:p/>
    <w:p/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 xml:space="preserve">Контакт:  </w:t>
            </w:r>
            <w:r>
              <w:fldChar w:fldCharType="begin"/>
            </w:r>
            <w:r>
              <w:rPr>
                <w:i w:val="1"/>
                <w:sz w:val="18"/>
              </w:rPr>
              <w:instrText xml:space="preserve"> HYPERLINK "mailto:vesna.zajc@stat.gov.rs" </w:instrText>
            </w:r>
            <w:r>
              <w:fldChar w:fldCharType="separate"/>
            </w:r>
            <w:r>
              <w:rPr>
                <w:rStyle w:val="C2"/>
                <w:i w:val="1"/>
                <w:sz w:val="18"/>
                <w:u w:val="none"/>
              </w:rPr>
              <w:t>vesna.zajc@stat.gov.rs</w:t>
            </w:r>
            <w:r>
              <w:rPr>
                <w:rStyle w:val="C2"/>
              </w:rPr>
              <w:fldChar w:fldCharType="end"/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i w:val="1"/>
                <w:sz w:val="18"/>
              </w:rPr>
              <w:t xml:space="preserve">тел: 011 2412-922  локал </w:t>
            </w:r>
            <w:r>
              <w:rPr>
                <w:i w:val="1"/>
                <w:sz w:val="18"/>
              </w:rPr>
              <w:t>298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1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годишња</w:t>
            </w:r>
          </w:p>
        </w:tc>
      </w:tr>
    </w:tbl>
    <w:p>
      <w:pPr>
        <w:pStyle w:val="P10"/>
        <w:rPr>
          <w:b w:val="1"/>
          <w:sz w:val="2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jc w:val="center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  <w:tblCellMar>
        <w:left w:w="28" w:type="dxa"/>
        <w:right w:w="28" w:type="dxa"/>
      </w:tblCellMar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rPr>
              <w:i w:val="1"/>
              <w:sz w:val="16"/>
            </w:rPr>
            <w:t>СРБ</w:t>
          </w:r>
          <w:r>
            <w:rPr>
              <w:i w:val="1"/>
              <w:sz w:val="16"/>
            </w:rPr>
            <w:t>200</w:t>
          </w:r>
          <w:r>
            <w:rPr>
              <w:i w:val="1"/>
              <w:sz w:val="16"/>
            </w:rPr>
            <w:t xml:space="preserve"> </w:t>
          </w:r>
          <w:r>
            <w:rPr>
              <w:i w:val="1"/>
              <w:sz w:val="16"/>
            </w:rPr>
            <w:t>СК11 1</w:t>
          </w:r>
          <w:r>
            <w:rPr>
              <w:i w:val="1"/>
              <w:sz w:val="16"/>
            </w:rPr>
            <w:t>5</w:t>
          </w:r>
          <w:r>
            <w:rPr>
              <w:i w:val="1"/>
              <w:sz w:val="16"/>
            </w:rPr>
            <w:t>071</w:t>
          </w:r>
          <w:r>
            <w:rPr>
              <w:i w:val="1"/>
              <w:sz w:val="16"/>
            </w:rPr>
            <w:t>3</w:t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1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1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jc w:val="center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  <w:tblCellMar>
        <w:left w:w="28" w:type="dxa"/>
        <w:right w:w="28" w:type="dxa"/>
      </w:tblCellMar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200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СК11 1</w:t>
          </w:r>
          <w:r>
            <w:rPr>
              <w:b w:val="1"/>
              <w:sz w:val="16"/>
            </w:rPr>
            <w:t>5</w:t>
          </w:r>
          <w:r>
            <w:rPr>
              <w:b w:val="1"/>
              <w:sz w:val="16"/>
            </w:rPr>
            <w:t>071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3460F3DD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44E3E51A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6A50462D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4233DBFE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30524ECC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113F91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039C1A3B"/>
    <w:multiLevelType w:val="hybridMultilevel"/>
    <w:lvl w:ilvl="0" w:tplc="4059317D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5B77BC44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6087D641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4E519313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3C86CD40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66709FE2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00E821DB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62DEDB4C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261B637D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2">
    <w:nsid w:val="0A5A5FA1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4">
    <w:nsid w:val="114D6BE7"/>
    <w:multiLevelType w:val="hybridMultilevel"/>
    <w:lvl w:ilvl="0" w:tplc="44479C9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C7CE28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C7984B0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5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6">
    <w:nsid w:val="18FD5B27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21DB0CCD"/>
    <w:multiLevelType w:val="multilevel"/>
    <w:lvl w:ilvl="0">
      <w:start w:val="1"/>
      <w:numFmt w:val="decimal"/>
      <w:suff w:val="tab"/>
      <w:lvlText w:val="%1."/>
      <w:lvlJc w:val="left"/>
      <w:pPr>
        <w:ind w:hanging="284" w:left="284"/>
        <w:tabs>
          <w:tab w:val="left" w:pos="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28324EB8"/>
    <w:multiLevelType w:val="multilevel"/>
    <w:lvl w:ilvl="0">
      <w:start w:val="1"/>
      <w:numFmt w:val="decimal"/>
      <w:suff w:val="tab"/>
      <w:lvlText w:val="%1."/>
      <w:lvlJc w:val="left"/>
      <w:pPr>
        <w:ind w:hanging="284" w:left="284"/>
        <w:tabs>
          <w:tab w:val="left" w:pos="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9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1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2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383173AF"/>
    <w:multiLevelType w:val="multilevel"/>
    <w:lvl w:ilvl="0">
      <w:start w:val="9"/>
      <w:numFmt w:val="decimal"/>
      <w:suff w:val="tab"/>
      <w:lvlText w:val="%1."/>
      <w:lvlJc w:val="left"/>
      <w:pPr>
        <w:ind w:hanging="284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4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5">
    <w:nsid w:val="398F6ADB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6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15ADAE1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7">
    <w:nsid w:val="3D59343A"/>
    <w:multiLevelType w:val="hybridMultilevel"/>
    <w:lvl w:ilvl="0" w:tplc="6A5A6D50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92CC32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13B30B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40DC736A"/>
    <w:multiLevelType w:val="multilevel"/>
    <w:lvl w:ilvl="0">
      <w:start w:val="2"/>
      <w:numFmt w:val="decimal"/>
      <w:suff w:val="tab"/>
      <w:lvlText w:val="%1."/>
      <w:lvlJc w:val="left"/>
      <w:pPr>
        <w:ind w:hanging="450" w:left="450"/>
        <w:tabs>
          <w:tab w:val="left" w:pos="450" w:leader="none"/>
        </w:tabs>
      </w:pPr>
      <w:rPr/>
    </w:lvl>
    <w:lvl w:ilvl="1">
      <w:start w:val="8"/>
      <w:numFmt w:val="decimal"/>
      <w:suff w:val="tab"/>
      <w:lvlText w:val="%1.%2."/>
      <w:lvlJc w:val="left"/>
      <w:pPr>
        <w:ind w:hanging="450" w:left="1164"/>
        <w:tabs>
          <w:tab w:val="left" w:pos="1164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2148"/>
        <w:tabs>
          <w:tab w:val="left" w:pos="2148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862"/>
        <w:tabs>
          <w:tab w:val="left" w:pos="2862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936"/>
        <w:tabs>
          <w:tab w:val="left" w:pos="393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4650"/>
        <w:tabs>
          <w:tab w:val="left" w:pos="465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5724"/>
        <w:tabs>
          <w:tab w:val="left" w:pos="5724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6438"/>
        <w:tabs>
          <w:tab w:val="left" w:pos="6438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7512"/>
        <w:tabs>
          <w:tab w:val="left" w:pos="7512" w:leader="none"/>
        </w:tabs>
      </w:pPr>
      <w:rPr/>
    </w:lvl>
  </w:abstractNum>
  <w:abstractNum w:abstractNumId="30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1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32">
    <w:nsid w:val="459470E3"/>
    <w:multiLevelType w:val="hybridMultilevel"/>
    <w:lvl w:ilvl="0" w:tplc="7A42D45C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C54FD3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0246DB8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3">
    <w:nsid w:val="4B3A34D7"/>
    <w:multiLevelType w:val="hybridMultilevel"/>
    <w:lvl w:ilvl="0" w:tplc="4F3D941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9BB3AF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F0B170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4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5">
    <w:nsid w:val="58ED4370"/>
    <w:multiLevelType w:val="multilevel"/>
    <w:lvl w:ilvl="0">
      <w:start w:val="9"/>
      <w:numFmt w:val="decimal"/>
      <w:suff w:val="tab"/>
      <w:lvlText w:val="%1."/>
      <w:lvlJc w:val="left"/>
      <w:pPr>
        <w:ind w:hanging="284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6">
    <w:nsid w:val="5B4A5D26"/>
    <w:multiLevelType w:val="hybridMultilevel"/>
    <w:lvl w:ilvl="0" w:tplc="3C435840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3CF6BD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D5109B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7">
    <w:nsid w:val="5D887C1D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40">
    <w:nsid w:val="6B666B95"/>
    <w:multiLevelType w:val="hybridMultilevel"/>
    <w:lvl w:ilvl="0" w:tplc="1A4EAA3C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87EBBC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1DC608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C418D1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83BD8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6B77E4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E2F168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AD015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D6A2D8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1">
    <w:nsid w:val="6CD922A2"/>
    <w:multiLevelType w:val="multilevel"/>
    <w:lvl w:ilvl="0">
      <w:start w:val="9"/>
      <w:numFmt w:val="decimal"/>
      <w:suff w:val="tab"/>
      <w:lvlText w:val="%1."/>
      <w:lvlJc w:val="left"/>
      <w:pPr>
        <w:ind w:hanging="284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2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591FC0E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43">
    <w:nsid w:val="73E9783C"/>
    <w:multiLevelType w:val="multilevel"/>
    <w:lvl w:ilvl="0">
      <w:start w:val="9"/>
      <w:numFmt w:val="decimal"/>
      <w:suff w:val="tab"/>
      <w:lvlText w:val="%1."/>
      <w:lvlJc w:val="left"/>
      <w:pPr>
        <w:ind w:hanging="284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31"/>
  </w:num>
  <w:num w:numId="13">
    <w:abstractNumId w:val="8"/>
  </w:num>
  <w:num w:numId="14">
    <w:abstractNumId w:val="36"/>
  </w:num>
  <w:num w:numId="15">
    <w:abstractNumId w:val="33"/>
  </w:num>
  <w:num w:numId="16">
    <w:abstractNumId w:val="14"/>
  </w:num>
  <w:num w:numId="17">
    <w:abstractNumId w:val="15"/>
  </w:num>
  <w:num w:numId="18">
    <w:abstractNumId w:val="42"/>
  </w:num>
  <w:num w:numId="19">
    <w:abstractNumId w:val="30"/>
  </w:num>
  <w:num w:numId="20">
    <w:abstractNumId w:val="26"/>
  </w:num>
  <w:num w:numId="21">
    <w:abstractNumId w:val="39"/>
  </w:num>
  <w:num w:numId="22">
    <w:abstractNumId w:val="32"/>
  </w:num>
  <w:num w:numId="23">
    <w:abstractNumId w:val="28"/>
  </w:num>
  <w:num w:numId="24">
    <w:abstractNumId w:val="20"/>
  </w:num>
  <w:num w:numId="25">
    <w:abstractNumId w:val="19"/>
  </w:num>
  <w:num w:numId="26">
    <w:abstractNumId w:val="22"/>
  </w:num>
  <w:num w:numId="27">
    <w:abstractNumId w:val="38"/>
  </w:num>
  <w:num w:numId="28">
    <w:abstractNumId w:val="13"/>
  </w:num>
  <w:num w:numId="29">
    <w:abstractNumId w:val="34"/>
  </w:num>
  <w:num w:numId="30">
    <w:abstractNumId w:val="27"/>
  </w:num>
  <w:num w:numId="31">
    <w:abstractNumId w:val="24"/>
  </w:num>
  <w:num w:numId="32">
    <w:abstractNumId w:val="11"/>
  </w:num>
  <w:num w:numId="33">
    <w:abstractNumId w:val="40"/>
  </w:num>
  <w:num w:numId="34">
    <w:abstractNumId w:val="29"/>
  </w:num>
  <w:num w:numId="35">
    <w:abstractNumId w:val="35"/>
  </w:num>
  <w:num w:numId="36">
    <w:abstractNumId w:val="12"/>
  </w:num>
  <w:num w:numId="37">
    <w:abstractNumId w:val="10"/>
  </w:num>
  <w:num w:numId="38">
    <w:abstractNumId w:val="16"/>
  </w:num>
  <w:num w:numId="39">
    <w:abstractNumId w:val="18"/>
  </w:num>
  <w:num w:numId="40">
    <w:abstractNumId w:val="17"/>
  </w:num>
  <w:num w:numId="41">
    <w:abstractNumId w:val="25"/>
  </w:num>
  <w:num w:numId="42">
    <w:abstractNumId w:val="37"/>
  </w:num>
  <w:num w:numId="43">
    <w:abstractNumId w:val="23"/>
  </w:num>
  <w:num w:numId="44">
    <w:abstractNumId w:val="43"/>
  </w:num>
  <w:num w:numId="45">
    <w:abstractNumId w:val="41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4"/>
    <w:basedOn w:val="P0"/>
    <w:next w:val="P0"/>
    <w:pPr>
      <w:keepNext w:val="1"/>
      <w:outlineLvl w:val="3"/>
    </w:pPr>
    <w:rPr>
      <w:sz w:val="52"/>
    </w:rPr>
  </w:style>
  <w:style w:type="paragraph" w:styleId="P7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8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9">
    <w:name w:val="Heading 7"/>
    <w:basedOn w:val="P0"/>
    <w:next w:val="P0"/>
    <w:pPr>
      <w:spacing w:before="240" w:after="60"/>
      <w:outlineLvl w:val="6"/>
    </w:pPr>
    <w:rPr/>
  </w:style>
  <w:style w:type="paragraph" w:styleId="P10">
    <w:name w:val="Heading 8"/>
    <w:basedOn w:val="P0"/>
    <w:next w:val="P0"/>
    <w:pPr>
      <w:spacing w:before="240" w:after="60"/>
      <w:outlineLvl w:val="7"/>
    </w:pPr>
    <w:rPr>
      <w:rFonts w:ascii="Times New Roman" w:hAnsi="Times New Roman"/>
      <w:i w:val="1"/>
      <w:sz w:val="24"/>
    </w:rPr>
  </w:style>
  <w:style w:type="paragraph" w:styleId="P11">
    <w:name w:val="Title"/>
    <w:basedOn w:val="P0"/>
    <w:next w:val="P11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2">
    <w:name w:val="Caption"/>
    <w:basedOn w:val="P0"/>
    <w:next w:val="P0"/>
    <w:pPr/>
    <w:rPr>
      <w:b w:val="1"/>
      <w:sz w:val="20"/>
    </w:rPr>
  </w:style>
  <w:style w:type="paragraph" w:styleId="P13">
    <w:name w:val="Podnaslov sopstenja"/>
    <w:basedOn w:val="P0"/>
    <w:next w:val="P13"/>
    <w:pPr>
      <w:spacing w:after="120"/>
      <w:jc w:val="center"/>
    </w:pPr>
    <w:rPr>
      <w:b w:val="1"/>
      <w:sz w:val="22"/>
    </w:rPr>
  </w:style>
  <w:style w:type="paragraph" w:styleId="P14">
    <w:name w:val="Subtitle"/>
    <w:basedOn w:val="P0"/>
    <w:next w:val="P14"/>
    <w:pPr>
      <w:spacing w:after="60"/>
      <w:jc w:val="center"/>
      <w:outlineLvl w:val="1"/>
    </w:pPr>
    <w:rPr>
      <w:rFonts w:ascii="Arial" w:hAnsi="Arial"/>
    </w:rPr>
  </w:style>
  <w:style w:type="paragraph" w:styleId="P15">
    <w:name w:val="Naslov Metodologija i Napomena"/>
    <w:basedOn w:val="P0"/>
    <w:next w:val="P15"/>
    <w:pPr>
      <w:spacing w:before="120" w:after="240"/>
      <w:jc w:val="center"/>
    </w:pPr>
    <w:rPr>
      <w:b w:val="1"/>
    </w:rPr>
  </w:style>
  <w:style w:type="paragraph" w:styleId="P16">
    <w:name w:val="Body Text"/>
    <w:basedOn w:val="P0"/>
    <w:next w:val="P16"/>
    <w:pPr>
      <w:spacing w:after="120"/>
    </w:pPr>
    <w:rPr/>
  </w:style>
  <w:style w:type="paragraph" w:styleId="P17">
    <w:name w:val="List Number"/>
    <w:basedOn w:val="P0"/>
    <w:next w:val="P17"/>
    <w:pPr>
      <w:numPr>
        <w:numId w:val="13"/>
      </w:numPr>
    </w:pPr>
    <w:rPr/>
  </w:style>
  <w:style w:type="paragraph" w:styleId="P18">
    <w:name w:val="Body Text Indent"/>
    <w:basedOn w:val="P0"/>
    <w:next w:val="P18"/>
    <w:pPr>
      <w:spacing w:after="120"/>
      <w:ind w:left="283"/>
    </w:pPr>
    <w:rPr/>
  </w:style>
  <w:style w:type="paragraph" w:styleId="P19">
    <w:name w:val="Body Text Indent 2"/>
    <w:basedOn w:val="P0"/>
    <w:next w:val="P19"/>
    <w:pPr>
      <w:spacing w:lineRule="auto" w:line="480" w:after="120"/>
      <w:ind w:left="283"/>
    </w:pPr>
    <w:rPr/>
  </w:style>
  <w:style w:type="paragraph" w:styleId="P20">
    <w:name w:val="Body Text 3"/>
    <w:basedOn w:val="P0"/>
    <w:next w:val="P20"/>
    <w:pPr>
      <w:spacing w:after="120"/>
    </w:pPr>
    <w:rPr>
      <w:sz w:val="16"/>
    </w:rPr>
  </w:style>
  <w:style w:type="paragraph" w:styleId="P21">
    <w:name w:val="Body Text Indent 3"/>
    <w:basedOn w:val="P0"/>
    <w:next w:val="P21"/>
    <w:pPr>
      <w:spacing w:after="120"/>
      <w:ind w:left="283"/>
    </w:pPr>
    <w:rPr>
      <w:sz w:val="16"/>
    </w:rPr>
  </w:style>
  <w:style w:type="paragraph" w:styleId="P22">
    <w:name w:val="Balloon Text"/>
    <w:basedOn w:val="P0"/>
    <w:next w:val="P22"/>
    <w:pPr/>
    <w:rPr>
      <w:rFonts w:ascii="Tahoma" w:hAnsi="Tahoma"/>
      <w:sz w:val="16"/>
    </w:rPr>
  </w:style>
  <w:style w:type="paragraph" w:styleId="P23">
    <w:name w:val="Body Text 2"/>
    <w:basedOn w:val="P0"/>
    <w:next w:val="P23"/>
    <w:pPr>
      <w:spacing w:lineRule="auto" w:line="480" w:after="120"/>
    </w:pPr>
    <w:rPr/>
  </w:style>
  <w:style w:type="paragraph" w:styleId="P24">
    <w:name w:val="Normal Indent"/>
    <w:basedOn w:val="P0"/>
    <w:next w:val="P24"/>
    <w:pPr>
      <w:ind w:left="720"/>
    </w:pPr>
    <w:rPr/>
  </w:style>
  <w:style w:type="paragraph" w:styleId="P25">
    <w:name w:val="Naslov tabela"/>
    <w:basedOn w:val="P0"/>
    <w:next w:val="P25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6">
    <w:name w:val="Tabela-Zaglavlje"/>
    <w:basedOn w:val="P0"/>
    <w:next w:val="P26"/>
    <w:pPr>
      <w:jc w:val="center"/>
    </w:pPr>
    <w:rPr>
      <w:rFonts w:ascii="Arial" w:hAnsi="Arial"/>
      <w:sz w:val="16"/>
    </w:rPr>
  </w:style>
  <w:style w:type="paragraph" w:styleId="P27">
    <w:name w:val="Tabela-Pretkolona"/>
    <w:basedOn w:val="P0"/>
    <w:next w:val="P27"/>
    <w:pPr/>
    <w:rPr>
      <w:rFonts w:ascii="Arial" w:hAnsi="Arial"/>
      <w:sz w:val="16"/>
    </w:rPr>
  </w:style>
  <w:style w:type="paragraph" w:styleId="P28">
    <w:name w:val="Tabela-PretkolonaI"/>
    <w:basedOn w:val="P0"/>
    <w:next w:val="P28"/>
    <w:pPr/>
    <w:rPr>
      <w:rFonts w:ascii="Arial" w:hAnsi="Arial"/>
      <w:i w:val="1"/>
      <w:sz w:val="16"/>
    </w:rPr>
  </w:style>
  <w:style w:type="paragraph" w:styleId="P29">
    <w:name w:val="Tabela-PretkolonaB"/>
    <w:basedOn w:val="P0"/>
    <w:next w:val="P29"/>
    <w:pPr/>
    <w:rPr>
      <w:rFonts w:ascii="Arial" w:hAnsi="Arial"/>
      <w:b w:val="1"/>
      <w:sz w:val="16"/>
    </w:rPr>
  </w:style>
  <w:style w:type="paragraph" w:styleId="P30">
    <w:name w:val="Tabela-Brojevi"/>
    <w:basedOn w:val="P0"/>
    <w:next w:val="P30"/>
    <w:pPr>
      <w:jc w:val="right"/>
    </w:pPr>
    <w:rPr>
      <w:rFonts w:ascii="Arial" w:hAnsi="Arial"/>
      <w:sz w:val="16"/>
    </w:rPr>
  </w:style>
  <w:style w:type="paragraph" w:styleId="P31">
    <w:name w:val="Footnote Text"/>
    <w:basedOn w:val="P0"/>
    <w:next w:val="P31"/>
    <w:pPr/>
    <w:rPr>
      <w:sz w:val="20"/>
    </w:rPr>
  </w:style>
  <w:style w:type="paragraph" w:styleId="P32">
    <w:name w:val="Tabela-BrojeviI"/>
    <w:basedOn w:val="P0"/>
    <w:next w:val="P32"/>
    <w:pPr>
      <w:jc w:val="right"/>
    </w:pPr>
    <w:rPr>
      <w:rFonts w:ascii="Arial" w:hAnsi="Arial"/>
      <w:i w:val="1"/>
      <w:sz w:val="16"/>
    </w:rPr>
  </w:style>
  <w:style w:type="paragraph" w:styleId="P33">
    <w:name w:val="Tabela-BrojeviB"/>
    <w:basedOn w:val="P0"/>
    <w:next w:val="P33"/>
    <w:pPr>
      <w:jc w:val="right"/>
    </w:pPr>
    <w:rPr>
      <w:rFonts w:ascii="Arial" w:hAnsi="Arial"/>
      <w:b w:val="1"/>
      <w:sz w:val="16"/>
    </w:rPr>
  </w:style>
  <w:style w:type="paragraph" w:styleId="P34">
    <w:name w:val="Fusnota-Broj1"/>
    <w:basedOn w:val="P0"/>
    <w:next w:val="P34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5">
    <w:name w:val="Fusnota-Tekst1"/>
    <w:basedOn w:val="P0"/>
    <w:next w:val="P35"/>
    <w:pPr/>
    <w:rPr>
      <w:sz w:val="14"/>
    </w:rPr>
  </w:style>
  <w:style w:type="paragraph" w:styleId="P36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7">
    <w:name w:val="Header"/>
    <w:basedOn w:val="P0"/>
    <w:next w:val="P37"/>
    <w:pPr>
      <w:tabs>
        <w:tab w:val="center" w:pos="4320" w:leader="none"/>
        <w:tab w:val="right" w:pos="8640" w:leader="none"/>
      </w:tabs>
    </w:pPr>
    <w:rPr/>
  </w:style>
  <w:style w:type="paragraph" w:styleId="P38">
    <w:name w:val="Footer"/>
    <w:basedOn w:val="P0"/>
    <w:next w:val="P38"/>
    <w:pPr>
      <w:tabs>
        <w:tab w:val="center" w:pos="4320" w:leader="none"/>
        <w:tab w:val="right" w:pos="8640" w:leader="none"/>
      </w:tabs>
    </w:pPr>
    <w:rPr/>
  </w:style>
  <w:style w:type="paragraph" w:styleId="P39">
    <w:name w:val="xl24"/>
    <w:basedOn w:val="P0"/>
    <w:next w:val="P39"/>
    <w:pPr>
      <w:spacing w:before="100" w:after="100" w:beforeAutospacing="1" w:afterAutospacing="1"/>
      <w:jc w:val="right"/>
    </w:pPr>
    <w:rPr>
      <w:sz w:val="14"/>
    </w:rPr>
  </w:style>
  <w:style w:type="paragraph" w:styleId="P40">
    <w:name w:val="xl25"/>
    <w:basedOn w:val="P0"/>
    <w:next w:val="P40"/>
    <w:pPr>
      <w:spacing w:before="100" w:after="100" w:beforeAutospacing="1" w:afterAutospacing="1"/>
      <w:jc w:val="right"/>
    </w:pPr>
    <w:rPr>
      <w:b w:val="1"/>
      <w:sz w:val="14"/>
    </w:rPr>
  </w:style>
  <w:style w:type="paragraph" w:styleId="P41">
    <w:name w:val="xl26"/>
    <w:basedOn w:val="P0"/>
    <w:next w:val="P41"/>
    <w:pPr>
      <w:spacing w:before="100" w:after="100" w:beforeAutospacing="1" w:afterAutospacing="1"/>
    </w:pPr>
    <w:rPr>
      <w:b w:val="1"/>
      <w:sz w:val="14"/>
    </w:rPr>
  </w:style>
  <w:style w:type="paragraph" w:styleId="P42">
    <w:name w:val="xl27"/>
    <w:basedOn w:val="P0"/>
    <w:next w:val="P42"/>
    <w:pPr>
      <w:spacing w:before="100" w:after="100" w:beforeAutospacing="1" w:afterAutospacing="1"/>
      <w:jc w:val="right"/>
    </w:pPr>
    <w:rPr>
      <w:sz w:val="14"/>
    </w:rPr>
  </w:style>
  <w:style w:type="paragraph" w:styleId="P43">
    <w:name w:val="xl28"/>
    <w:basedOn w:val="P0"/>
    <w:next w:val="P43"/>
    <w:pPr>
      <w:spacing w:before="100" w:after="100" w:beforeAutospacing="1" w:afterAutospacing="1"/>
    </w:pPr>
    <w:rPr>
      <w:b w:val="1"/>
      <w:sz w:val="14"/>
    </w:rPr>
  </w:style>
  <w:style w:type="paragraph" w:styleId="P44">
    <w:name w:val="Naslov saopstenja"/>
    <w:basedOn w:val="P11"/>
    <w:next w:val="P12"/>
    <w:pPr>
      <w:spacing w:after="0"/>
    </w:pPr>
    <w:rPr>
      <w:sz w:val="24"/>
    </w:rPr>
  </w:style>
  <w:style w:type="paragraph" w:styleId="P45">
    <w:name w:val="Body Text First Indent"/>
    <w:basedOn w:val="P16"/>
    <w:next w:val="P45"/>
    <w:pPr>
      <w:ind w:firstLine="210"/>
    </w:pPr>
    <w:rPr/>
  </w:style>
  <w:style w:type="paragraph" w:styleId="P46">
    <w:name w:val="Body Text First Indent 2"/>
    <w:basedOn w:val="P18"/>
    <w:next w:val="P46"/>
    <w:pPr>
      <w:ind w:firstLine="210"/>
    </w:pPr>
    <w:rPr/>
  </w:style>
  <w:style w:type="paragraph" w:styleId="P47">
    <w:name w:val="Tekst Metodologija i Napomena"/>
    <w:basedOn w:val="P45"/>
    <w:next w:val="P16"/>
    <w:pPr>
      <w:spacing w:before="120" w:after="0"/>
      <w:ind w:firstLine="397"/>
      <w:jc w:val="both"/>
    </w:pPr>
    <w:rPr/>
  </w:style>
  <w:style w:type="paragraph" w:styleId="P48">
    <w:name w:val="Style Pasus + First line:  06 cm Before:  0 pt After:  0 pt"/>
    <w:basedOn w:val="P47"/>
    <w:next w:val="P48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asis"/>
    <w:basedOn w:val="C0"/>
    <w:rPr>
      <w:i w:val="1"/>
    </w:rPr>
  </w:style>
  <w:style w:type="character" w:styleId="C4">
    <w:name w:val="Page Number"/>
    <w:basedOn w:val="C0"/>
    <w:rPr/>
  </w:style>
  <w:style w:type="character" w:styleId="C5">
    <w:name w:val="Footnote Reference"/>
    <w:basedOn w:val="C0"/>
    <w:rPr>
      <w:vertAlign w:val="superscript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2013-07-12T05:45:00Z</dcterms:created>
  <cp:lastModifiedBy>Nikola Kapetanovic</cp:lastModifiedBy>
  <cp:lastPrinted>2012-07-12T12:28:00Z</cp:lastPrinted>
  <dcterms:modified xsi:type="dcterms:W3CDTF">2020-01-10T11:17:20Z</dcterms:modified>
  <cp:revision>3</cp:revision>
  <dc:title>                  </dc:title>
</cp:coreProperties>
</file>