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6F7AFE" Type="http://schemas.openxmlformats.org/officeDocument/2006/relationships/officeDocument" Target="/word/document.xml" /><Relationship Id="coreR766F7A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anchor xmlns:wp="http://schemas.openxmlformats.org/drawingml/2006/wordprocessingDrawing" simplePos="0" allowOverlap="0" behindDoc="0" layoutInCell="1" locked="0" relativeHeight="1" distL="114300" distR="11430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xmlns:wp="http://schemas.openxmlformats.org/drawingml/2006/wordprocessingDrawing">
                  <wp:extent cx="868680" cy="21018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2101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trHeight w:hRule="atLeast" w:val="695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НР40</w:t>
            </w:r>
          </w:p>
        </w:tc>
      </w:tr>
      <w:tr>
        <w:trPr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t>број 175 - год. LXIII, 28.06.2013.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trHeight w:hRule="atLeast" w:val="353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Одсек за израду кварталних националних рачуна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СРБ175 НР40 280613</w:t>
            </w:r>
          </w:p>
        </w:tc>
      </w:tr>
    </w:tbl>
    <w:p>
      <w:pPr>
        <w:spacing w:before="480" w:after="120"/>
        <w:outlineLvl w:val="0"/>
        <w:rPr>
          <w:b w:val="1"/>
          <w:sz w:val="24"/>
        </w:rPr>
      </w:pPr>
    </w:p>
    <w:p>
      <w:pPr>
        <w:spacing w:before="480" w:after="120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Квартални </w:t>
      </w:r>
      <w:r>
        <w:rPr>
          <w:b w:val="1"/>
          <w:sz w:val="24"/>
        </w:rPr>
        <w:t>бруто домаћи производ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 </w:t>
      </w:r>
      <w:r>
        <w:rPr>
          <w:b w:val="1"/>
          <w:sz w:val="24"/>
        </w:rPr>
        <w:t>Републи</w:t>
      </w:r>
      <w:r>
        <w:rPr>
          <w:b w:val="1"/>
          <w:sz w:val="24"/>
        </w:rPr>
        <w:t>ци Србији</w:t>
      </w:r>
    </w:p>
    <w:p>
      <w:pPr>
        <w:ind w:left="60"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Први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3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године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ind w:left="60"/>
        <w:jc w:val="center"/>
        <w:outlineLvl w:val="0"/>
        <w:rPr>
          <w:b w:val="1"/>
          <w:sz w:val="22"/>
        </w:rPr>
      </w:pPr>
    </w:p>
    <w:p>
      <w:pPr>
        <w:ind w:left="60"/>
        <w:jc w:val="center"/>
        <w:outlineLvl w:val="0"/>
        <w:rPr>
          <w:b w:val="1"/>
          <w:sz w:val="22"/>
        </w:rPr>
      </w:pPr>
    </w:p>
    <w:p>
      <w:pPr>
        <w:spacing w:lineRule="auto" w:line="288" w:before="240"/>
        <w:ind w:firstLine="403"/>
        <w:jc w:val="both"/>
      </w:pPr>
      <w:r>
        <w:t xml:space="preserve">У овом саопштењу Републички завод за статистику објављује резултате обрачуна кварталног бруто домаћег производа по производном и расходном приступу, у текућим и сталним ценама. </w:t>
      </w:r>
    </w:p>
    <w:p>
      <w:pPr>
        <w:spacing w:lineRule="auto" w:line="288" w:before="240"/>
        <w:ind w:firstLine="397"/>
        <w:jc w:val="both"/>
      </w:pPr>
      <w:r>
        <w:t xml:space="preserve">Реални раст БДП у првом кварталу 2013. године, у односу на исти период претходне године, износио је 2,1%. </w:t>
      </w:r>
    </w:p>
    <w:p>
      <w:pPr>
        <w:spacing w:lineRule="auto" w:line="288" w:before="240"/>
        <w:ind w:firstLine="403"/>
        <w:jc w:val="both"/>
      </w:pPr>
      <w:r>
        <w:t>Десезонирана серија података показује раст БДП у првом кварталу 2013. године од 1,9% у односу на претходни квартал.</w:t>
      </w:r>
    </w:p>
    <w:p>
      <w:pPr>
        <w:spacing w:lineRule="auto" w:line="288" w:before="240"/>
        <w:ind w:firstLine="403"/>
        <w:jc w:val="both"/>
      </w:pPr>
      <w:r>
        <w:t xml:space="preserve">Посматрано по делатностима, у првом кварталу 2013. године у односу на исти период претходне године значајан реални раст бруто додате вредности забележен је у: сектору информисања и комуникација, 8,1%, сектору рударства, 6,6%, сектору саобраћаја и складиштења, 5,4%, сектору  снабдевања електричном енергијом, гасом и паром, 3,2%, и сектору прерађивачке индустрије, 2,4%. Значајан пад бруто додате вредности забележен је у: сектору грађевинарства, 24,7% и сектору  трговине, 4,0%. </w:t>
      </w:r>
    </w:p>
    <w:p>
      <w:pPr>
        <w:spacing w:lineRule="auto" w:line="288" w:before="240"/>
        <w:ind w:firstLine="403"/>
        <w:jc w:val="both"/>
      </w:pPr>
      <w:r>
        <w:t xml:space="preserve">Посматрано по агрегатима употребе БДП, у првом кварталу 2013. године у односу на исти период претходне године сви агрегати, осим извоза и увоза робе и услуга, показују реалан пад: издаци за финалну потрошњу домаћинстава, 1,1%,  издаци за финалну потрошњу непрофитних институција које пружају услуге домаћинствима (НПИД), 4,9%, издаци за финалну потрошњу државе, 3,2% и бруто инвестиције у основне фондове, 3,9%. Извоз робе и услуга реално је порастао за 13,5%, а увоз робе и услуга за 1,2%.</w:t>
      </w:r>
    </w:p>
    <w:p>
      <w:pPr>
        <w:spacing w:lineRule="auto" w:line="288" w:before="24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360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numPr>
          <w:ilvl w:val="0"/>
          <w:numId w:val="38"/>
        </w:numPr>
        <w:ind w:left="360"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Квартални бруто домаћи производ, с</w:t>
      </w:r>
      <w:r>
        <w:rPr>
          <w:b w:val="1"/>
        </w:rPr>
        <w:t xml:space="preserve">топе </w:t>
      </w:r>
      <w:r>
        <w:rPr>
          <w:b w:val="1"/>
        </w:rPr>
        <w:t xml:space="preserve">реалног </w:t>
      </w:r>
      <w:r>
        <w:rPr>
          <w:b w:val="1"/>
        </w:rPr>
        <w:t>раста</w:t>
      </w:r>
    </w:p>
    <w:p>
      <w:pPr>
        <w:ind w:left="720"/>
        <w:rPr>
          <w:b w:val="1"/>
        </w:rPr>
      </w:pPr>
    </w:p>
    <w:p>
      <w:pPr>
        <w:spacing w:after="40"/>
        <w:rPr>
          <w:b w:val="1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08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72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08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c>
          <w:tcPr>
            <w:tcW w:w="408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</w:tr>
      <w:tr>
        <w:tc>
          <w:tcPr>
            <w:tcW w:w="408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Недесезонирани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истом кварталу претходне године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-2,6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-0,1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-2,1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-2,1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>
        <w:tc>
          <w:tcPr>
            <w:tcW w:w="4082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12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претходном кварталу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-0,7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-0,2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-0,5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-1,9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680" w:type="dxa"/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-0,9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>
      <w:pPr>
        <w:tabs>
          <w:tab w:val="left" w:pos="1119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38"/>
        </w:numPr>
        <w:ind w:left="360"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производ, текуће цене</w:t>
      </w:r>
    </w:p>
    <w:p>
      <w:pPr>
        <w:pStyle w:val="P37"/>
        <w:ind w:left="0"/>
        <w:rPr>
          <w:b w:val="1"/>
        </w:rPr>
      </w:pPr>
    </w:p>
    <w:p>
      <w:pPr>
        <w:spacing w:after="40"/>
        <w:jc w:val="both"/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</w:t>
      </w:r>
      <w:r>
        <w:rPr>
          <w:b w:val="1"/>
          <w:sz w:val="18"/>
        </w:rPr>
        <w:t xml:space="preserve"> </w:t>
      </w:r>
      <w:r>
        <w:rPr>
          <w:sz w:val="18"/>
        </w:rPr>
        <w:t>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684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36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68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c>
          <w:tcPr>
            <w:tcW w:w="431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bot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6"/>
              </w:rPr>
            </w:pPr>
          </w:p>
        </w:tc>
        <w:tc>
          <w:tcPr>
            <w:tcW w:w="100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296898,1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53484,5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63294,9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91210,3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88908,3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70223,3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58044,5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13459,3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12453,0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15242,3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16889,8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15865,6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480461,3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97318,8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122361,9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122884,9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137895,6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107194,3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109973,5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32171,8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22407,8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24228,8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31165,2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33661,7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41375,1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9953,2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10157,9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10505,1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10759,0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11452,3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125314,8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20559,6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34909,8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36940,1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32905,3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15421,6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318042,0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68840,2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80420,7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83926,4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84854,8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72181,3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156158,4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35812,4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39295,4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38166,8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42883,8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41620,4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36033,6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8062,7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9026,0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9518,5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9426,5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9451,0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157291,2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37424,4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39283,7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38844,8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41738,2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43105,5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110313,0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26130,8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27900,2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28064,8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28217,2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28611,1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348802,4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86807,5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87379,1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87111,5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87504,2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88967,5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130704,8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29346,1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31622,0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33866,0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35870,7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36237,4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48866,9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11490,8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12057,0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12438,5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12880,6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13661,6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116717,1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28736,0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28978,9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29395,5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29606,6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29825,8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136530,6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32703,3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33733,3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33788,3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36305,7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37011,4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191799,2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45557,4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47472,6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48087,9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50681,3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51431,6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33834,4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7705,9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8118,9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8627,1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9382,5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10274,9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38469,2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9562,7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9535,4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9642,5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9728,6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9028,6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3036,9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742,1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753,3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765,6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775,8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732,9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2938667,0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655869,7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721162,0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763255,6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798379,8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725959,8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93813,3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22308,8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23269,5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23995,5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24239,4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24123,0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2844853,8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633560,8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697892,4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739260,1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774140,4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701836,8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541315,4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111778,6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129324,2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147348,8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152863,7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129765,7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3386169,1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745339,5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827216,7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886608,9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927004,1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831602,6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ind w:hanging="360" w:left="360"/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</w:t>
      </w:r>
      <w:r>
        <w:rPr>
          <w:b w:val="1"/>
        </w:rPr>
        <w:t>, стопе реалног раста</w:t>
      </w:r>
    </w:p>
    <w:p>
      <w:pPr>
        <w:ind w:hanging="360" w:left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jc w:val="center"/>
        <w:rPr>
          <w:b w:val="1"/>
        </w:rPr>
      </w:pPr>
    </w:p>
    <w:p>
      <w:pPr>
        <w:spacing w:after="40"/>
        <w:jc w:val="both"/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684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36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68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c>
          <w:tcPr>
            <w:tcW w:w="431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bot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6"/>
              </w:rPr>
            </w:pPr>
          </w:p>
        </w:tc>
        <w:tc>
          <w:tcPr>
            <w:tcW w:w="100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/>
              <w:jc w:val="right"/>
              <w:rPr>
                <w:sz w:val="16"/>
              </w:rPr>
            </w:pP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-17,1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-18,5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-17,0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-14,6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-8,7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-24,7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-24,7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-4,0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6,8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5,2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6,9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-9,9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-1,0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-8,7</w:t>
            </w:r>
          </w:p>
        </w:tc>
      </w:tr>
      <w:tr>
        <w:tc>
          <w:tcPr>
            <w:tcW w:w="431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-3,6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-10,3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-0,5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7,4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-0,5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431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2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-2,6</w:t>
            </w:r>
          </w:p>
        </w:tc>
        <w:tc>
          <w:tcPr>
            <w:tcW w:w="891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963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lineRule="auto" w:line="360" w:after="40"/>
        <w:rPr>
          <w:sz w:val="18"/>
        </w:rPr>
      </w:pPr>
    </w:p>
    <w:p>
      <w:pPr>
        <w:spacing w:after="120"/>
        <w:ind w:hanging="360" w:left="360"/>
        <w:jc w:val="center"/>
      </w:pP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Употреба бруто домаћег производа</w:t>
      </w:r>
      <w:r>
        <w:rPr>
          <w:b w:val="1"/>
        </w:rPr>
        <w:t>, текуће цене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80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362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8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8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00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8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b w:val="1"/>
                <w:sz w:val="17"/>
              </w:rPr>
            </w:pPr>
          </w:p>
          <w:p>
            <w:pPr>
              <w:spacing w:before="60" w:after="6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  <w:p>
            <w:pPr>
              <w:spacing w:before="60" w:after="60"/>
              <w:rPr>
                <w:b w:val="1"/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3386169,1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745339,5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827216,7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886608,9</w:t>
            </w: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927004,1</w:t>
            </w:r>
          </w:p>
        </w:tc>
        <w:tc>
          <w:tcPr>
            <w:tcW w:w="833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831602,6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домаћинстава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2552533,5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609533,1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613919,7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648892,5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680188,2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665941,6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НПИД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33709,2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8213,1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8354,5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8498,2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8643,5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8790,0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државе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682590,9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155332,7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175521,2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165402,1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186334,8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163051,5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Бруто инвестиције у основне фондове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604289,1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115886,0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158818,2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167007,1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162577,7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113291,0</w:t>
            </w:r>
          </w:p>
        </w:tc>
      </w:tr>
      <w:tr>
        <w:trPr>
          <w:trHeight w:hRule="atLeast" w:val="20"/>
        </w:trP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Промене у залихама и промене у драгоценостима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116378,1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20346,1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19359,9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33746,3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42925,8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4813,9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Извоз робе и услуга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1349617,7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275038,9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345166,4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358817,9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370594,5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333122,5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 xml:space="preserve">Увоз робе и услуга  (-)</w:t>
            </w: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1952949,2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439010,3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493923,3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495755,2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524260,4</w:t>
            </w: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457407,9</w:t>
            </w:r>
          </w:p>
        </w:tc>
      </w:tr>
      <w:tr>
        <w:tc>
          <w:tcPr>
            <w:tcW w:w="4808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</w:p>
        </w:tc>
        <w:tc>
          <w:tcPr>
            <w:tcW w:w="1002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0" w:after="80"/>
              <w:jc w:val="center"/>
              <w:rPr>
                <w:sz w:val="17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0" w:after="80"/>
              <w:jc w:val="center"/>
              <w:rPr>
                <w:sz w:val="17"/>
              </w:rPr>
            </w:pP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7"/>
              </w:rPr>
            </w:pPr>
          </w:p>
        </w:tc>
        <w:tc>
          <w:tcPr>
            <w:tcW w:w="833" w:type="dxa"/>
            <w:tcBorders>
              <w:lef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7"/>
              </w:rPr>
            </w:pP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pStyle w:val="P37"/>
        <w:numPr>
          <w:ilvl w:val="0"/>
          <w:numId w:val="41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41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</w:t>
      </w:r>
    </w:p>
    <w:p>
      <w:pPr>
        <w:spacing w:after="40"/>
        <w:rPr>
          <w:sz w:val="18"/>
        </w:rPr>
      </w:pPr>
    </w:p>
    <w:p>
      <w:pPr>
        <w:ind w:hanging="360" w:left="360"/>
        <w:jc w:val="center"/>
        <w:rPr>
          <w:b w:val="1"/>
        </w:rPr>
      </w:pPr>
      <w:r>
        <w:rPr>
          <w:b w:val="1"/>
        </w:rPr>
        <w:t>5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Употреба б</w:t>
      </w:r>
      <w:r>
        <w:rPr>
          <w:b w:val="1"/>
        </w:rPr>
        <w:t>руто домаћ</w:t>
      </w:r>
      <w:r>
        <w:rPr>
          <w:b w:val="1"/>
        </w:rPr>
        <w:t>ег</w:t>
      </w:r>
      <w:r>
        <w:rPr>
          <w:b w:val="1"/>
        </w:rPr>
        <w:t xml:space="preserve"> производ</w:t>
      </w:r>
      <w:r>
        <w:rPr>
          <w:b w:val="1"/>
        </w:rPr>
        <w:t>а</w:t>
      </w:r>
      <w:r>
        <w:rPr>
          <w:b w:val="1"/>
        </w:rPr>
        <w:t>,</w:t>
      </w:r>
      <w:r>
        <w:rPr>
          <w:b w:val="1"/>
        </w:rPr>
        <w:t xml:space="preserve"> стопе реалног раста</w:t>
      </w:r>
    </w:p>
    <w:p>
      <w:pPr>
        <w:spacing w:after="120"/>
        <w:ind w:hanging="360" w:left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84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362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2013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84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b w:val="1"/>
                <w:sz w:val="17"/>
              </w:rPr>
            </w:pPr>
          </w:p>
          <w:p>
            <w:pPr>
              <w:spacing w:before="60" w:after="6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  <w:p>
            <w:pPr>
              <w:spacing w:before="60" w:after="60"/>
              <w:rPr>
                <w:b w:val="1"/>
                <w:sz w:val="17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-2,6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907" w:type="dxa"/>
            <w:tcBorders>
              <w:top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90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880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-1,1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НПИД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-6,0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-4,9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Издаци за финалну потрошњу државе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-2,6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-3,2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Бруто инвестиције у основне фондове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4,3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-14,5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-3,9</w:t>
            </w:r>
          </w:p>
        </w:tc>
      </w:tr>
      <w:tr>
        <w:trPr>
          <w:trHeight w:hRule="atLeast" w:val="20"/>
        </w:trP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Промене у залихама и промене у драгоценостима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>Извоз робе и услуга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-5,1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11,5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</w:tr>
      <w:tr>
        <w:tc>
          <w:tcPr>
            <w:tcW w:w="4846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7"/>
              </w:rPr>
            </w:pPr>
            <w:r>
              <w:rPr>
                <w:sz w:val="17"/>
              </w:rPr>
              <w:t xml:space="preserve">Увоз робе и услуга  (-)</w:t>
            </w:r>
          </w:p>
        </w:tc>
        <w:tc>
          <w:tcPr>
            <w:tcW w:w="907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9,4</w:t>
            </w:r>
          </w:p>
        </w:tc>
        <w:tc>
          <w:tcPr>
            <w:tcW w:w="907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907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880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pStyle w:val="P37"/>
        <w:numPr>
          <w:ilvl w:val="0"/>
          <w:numId w:val="44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44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 </w:t>
      </w:r>
    </w:p>
    <w:p>
      <w:pPr>
        <w:pStyle w:val="P37"/>
        <w:ind w:left="0"/>
        <w:rPr>
          <w:sz w:val="16"/>
        </w:rPr>
      </w:pPr>
    </w:p>
    <w:p>
      <w:pPr>
        <w:pStyle w:val="P37"/>
        <w:ind w:left="0"/>
        <w:rPr>
          <w:sz w:val="16"/>
        </w:rPr>
      </w:pPr>
    </w:p>
    <w:p>
      <w:pPr>
        <w:spacing w:after="80"/>
        <w:ind w:firstLine="403"/>
        <w:jc w:val="both"/>
      </w:pPr>
      <w:r>
        <w:t xml:space="preserve">Методолошка објашњења кварталних обрачуна налазе се на сајту Републичког завода за статистику </w:t>
      </w:r>
      <w:r>
        <w:fldChar w:fldCharType="begin"/>
      </w:r>
      <w:r>
        <w:instrText>HYPERLINK "http://webrzs.stat.gov.rs/WebSite/Public/PageView.aspx?pKey=64"</w:instrText>
      </w:r>
      <w:r>
        <w:fldChar w:fldCharType="separate"/>
      </w:r>
      <w:r>
        <w:rPr>
          <w:rStyle w:val="C2"/>
        </w:rPr>
        <w:t>http://webrzs.stat.gov.rs/WebSite/Public/PageView.aspx?pKey=64</w:t>
      </w:r>
      <w:r>
        <w:rPr>
          <w:rStyle w:val="C2"/>
        </w:rPr>
        <w:fldChar w:fldCharType="end"/>
      </w:r>
      <w:r>
        <w:t xml:space="preserve">. </w:t>
      </w:r>
    </w:p>
    <w:p>
      <w:pPr>
        <w:spacing w:after="80"/>
        <w:ind w:firstLine="403"/>
        <w:jc w:val="both"/>
      </w:pPr>
      <w:r>
        <w:t xml:space="preserve">Серије података у текућим ценама, ценама претходне године, уланчане мере обима (референтна 2005. година) и десезонирани БДП, доступни су на сајту Републичког завода за статистику, у бази података </w:t>
      </w:r>
      <w:r>
        <w:fldChar w:fldCharType="begin"/>
      </w:r>
      <w:r>
        <w:instrText>HYPERLINK "http://webrzs.stat.gov.rs/WebSite/public/ReportView.aspx"</w:instrText>
      </w:r>
      <w:r>
        <w:fldChar w:fldCharType="separate"/>
      </w:r>
      <w:r>
        <w:rPr>
          <w:rStyle w:val="C2"/>
        </w:rPr>
        <w:t>http://webrzs.stat.gov.rs/WebSite/public/ReportView.aspx</w:t>
      </w:r>
      <w:r>
        <w:rPr>
          <w:rStyle w:val="C2"/>
        </w:rPr>
        <w:fldChar w:fldCharType="end"/>
      </w:r>
      <w:r>
        <w:t>.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8"/>
          <w:u w:val="single"/>
        </w:rPr>
      </w:pPr>
      <w:r>
        <w:rPr>
          <w:sz w:val="16"/>
          <w:u w:val="single"/>
        </w:rPr>
        <w:t xml:space="preserve">               </w:t>
      </w:r>
      <w:r>
        <w:rPr>
          <w:sz w:val="18"/>
          <w:u w:val="single"/>
        </w:rPr>
        <w:t xml:space="preserve">                   </w:t>
      </w:r>
    </w:p>
    <w:p>
      <w:pPr>
        <w:jc w:val="center"/>
        <w:rPr>
          <w:sz w:val="18"/>
        </w:rPr>
      </w:pPr>
      <w:r>
        <w:rPr>
          <w:sz w:val="18"/>
        </w:rPr>
        <w:t xml:space="preserve">Контакт:  </w:t>
      </w:r>
      <w:r>
        <w:rPr>
          <w:sz w:val="18"/>
        </w:rPr>
        <w:fldChar w:fldCharType="begin"/>
      </w:r>
      <w:r>
        <w:instrText>HYPERLINK "mailto:mirjana.smolcic@stat.gov.rs"</w:instrText>
      </w:r>
      <w:r>
        <w:fldChar w:fldCharType="separate"/>
      </w:r>
      <w:r>
        <w:rPr>
          <w:rStyle w:val="C2"/>
          <w:sz w:val="18"/>
          <w:u w:val="none"/>
        </w:rPr>
        <w:t>mirjana.smolcic@stat.gov.rs</w:t>
      </w:r>
      <w:r>
        <w:rPr>
          <w:rStyle w:val="C2"/>
          <w:sz w:val="18"/>
          <w:u w:val="none"/>
        </w:rPr>
        <w:fldChar w:fldCharType="end"/>
      </w:r>
      <w:r>
        <w:rPr>
          <w:sz w:val="18"/>
        </w:rPr>
        <w:t xml:space="preserve">    тел: 011 2412-922 локал 256</w:t>
      </w:r>
    </w:p>
    <w:p>
      <w:pPr>
        <w:jc w:val="center"/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2-412-922 (централа) • Tелефакс: 011 2-411-260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СРБ175 НР40 280613</w:t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СРБ175 НР40 280613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5ED6C08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2C88479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18997AC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A13509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A40167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A16B65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B4AD2BA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9137796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737B8F24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8723702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B9A53FF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3301041A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23C2171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2816528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9D200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3">
    <w:nsid w:val="114D6BE7"/>
    <w:multiLevelType w:val="hybridMultilevel"/>
    <w:lvl w:ilvl="0" w:tplc="0C6BC57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6FB828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AB0933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4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5">
    <w:nsid w:val="18EB246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1E321A3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23AD5FB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3AE51D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2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D3C8C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5">
    <w:nsid w:val="3D59343A"/>
    <w:multiLevelType w:val="hybridMultilevel"/>
    <w:lvl w:ilvl="0" w:tplc="08E1356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64995F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8C2970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9">
    <w:nsid w:val="450171AF"/>
    <w:multiLevelType w:val="hybridMultilevel"/>
    <w:lvl w:ilvl="0" w:tplc="4683931D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Arial" w:hAnsi="Arial"/>
      </w:rPr>
    </w:lvl>
    <w:lvl w:ilvl="1" w:tplc="057CC58A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0837991F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07C1FC03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3B7664EC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261E2D07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7D7E0349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13C9AF92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28FAE971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30">
    <w:nsid w:val="459470E3"/>
    <w:multiLevelType w:val="hybridMultilevel"/>
    <w:lvl w:ilvl="0" w:tplc="78724AE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EEEBDB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1D0949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1">
    <w:nsid w:val="4B3A34D7"/>
    <w:multiLevelType w:val="hybridMultilevel"/>
    <w:lvl w:ilvl="0" w:tplc="712646B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1DECB1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572A47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2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3">
    <w:nsid w:val="5AAC39E2"/>
    <w:multiLevelType w:val="multilevel"/>
    <w:lvl w:ilvl="0">
      <w:start w:val="1"/>
      <w:numFmt w:val="decimal"/>
      <w:suff w:val="tab"/>
      <w:lvlText w:val="%1)"/>
      <w:lvlJc w:val="left"/>
      <w:pPr>
        <w:ind w:hanging="360" w:left="117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34">
    <w:nsid w:val="5B4A5D26"/>
    <w:multiLevelType w:val="hybridMultilevel"/>
    <w:lvl w:ilvl="0" w:tplc="3AC0E42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E3903E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F1D369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5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6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7">
    <w:nsid w:val="6C9153EE"/>
    <w:multiLevelType w:val="multilevel"/>
    <w:lvl w:ilvl="0">
      <w:start w:val="1"/>
      <w:numFmt w:val="decimal"/>
      <w:suff w:val="tab"/>
      <w:lvlText w:val="%1)"/>
      <w:lvlJc w:val="left"/>
      <w:pPr>
        <w:ind w:hanging="360" w:left="117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38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844E0E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1"/>
  </w:num>
  <w:num w:numId="16">
    <w:abstractNumId w:val="28"/>
  </w:num>
  <w:num w:numId="17">
    <w:abstractNumId w:val="8"/>
  </w:num>
  <w:num w:numId="18">
    <w:abstractNumId w:val="34"/>
  </w:num>
  <w:num w:numId="19">
    <w:abstractNumId w:val="31"/>
  </w:num>
  <w:num w:numId="20">
    <w:abstractNumId w:val="13"/>
  </w:num>
  <w:num w:numId="21">
    <w:abstractNumId w:val="14"/>
  </w:num>
  <w:num w:numId="22">
    <w:abstractNumId w:val="38"/>
  </w:num>
  <w:num w:numId="23">
    <w:abstractNumId w:val="27"/>
  </w:num>
  <w:num w:numId="24">
    <w:abstractNumId w:val="24"/>
  </w:num>
  <w:num w:numId="25">
    <w:abstractNumId w:val="36"/>
  </w:num>
  <w:num w:numId="26">
    <w:abstractNumId w:val="30"/>
  </w:num>
  <w:num w:numId="27">
    <w:abstractNumId w:val="26"/>
  </w:num>
  <w:num w:numId="28">
    <w:abstractNumId w:val="19"/>
  </w:num>
  <w:num w:numId="29">
    <w:abstractNumId w:val="18"/>
  </w:num>
  <w:num w:numId="30">
    <w:abstractNumId w:val="22"/>
  </w:num>
  <w:num w:numId="31">
    <w:abstractNumId w:val="35"/>
  </w:num>
  <w:num w:numId="32">
    <w:abstractNumId w:val="12"/>
  </w:num>
  <w:num w:numId="33">
    <w:abstractNumId w:val="32"/>
  </w:num>
  <w:num w:numId="34">
    <w:abstractNumId w:val="25"/>
  </w:num>
  <w:num w:numId="35">
    <w:abstractNumId w:val="23"/>
  </w:num>
  <w:num w:numId="36">
    <w:abstractNumId w:val="10"/>
  </w:num>
  <w:num w:numId="37">
    <w:abstractNumId w:val="29"/>
  </w:num>
  <w:num w:numId="38">
    <w:abstractNumId w:val="11"/>
  </w:num>
  <w:num w:numId="39">
    <w:abstractNumId w:val="17"/>
  </w:num>
  <w:num w:numId="40">
    <w:abstractNumId w:val="20"/>
  </w:num>
  <w:num w:numId="41">
    <w:abstractNumId w:val="33"/>
  </w:num>
  <w:num w:numId="42">
    <w:abstractNumId w:val="15"/>
  </w:num>
  <w:num w:numId="43">
    <w:abstractNumId w:val="16"/>
  </w:num>
  <w:num w:numId="44">
    <w:abstractNumId w:val="37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link w:val="C3"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link w:val="C4"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link w:val="C5"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link w:val="C6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7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link w:val="C8"/>
    <w:pPr>
      <w:spacing w:before="240" w:after="60"/>
      <w:outlineLvl w:val="6"/>
    </w:pPr>
    <w:rPr/>
  </w:style>
  <w:style w:type="paragraph" w:styleId="P8">
    <w:name w:val="Title"/>
    <w:basedOn w:val="P0"/>
    <w:next w:val="P8"/>
    <w:link w:val="C9"/>
    <w:pPr>
      <w:spacing w:before="240" w:after="60"/>
      <w:jc w:val="center"/>
      <w:outlineLvl w:val="0"/>
    </w:pPr>
    <w:rPr>
      <w:b w:val="1"/>
      <w:sz w:val="32"/>
    </w:rPr>
  </w:style>
  <w:style w:type="paragraph" w:styleId="P9">
    <w:name w:val="Caption"/>
    <w:basedOn w:val="P0"/>
    <w:next w:val="P0"/>
    <w:pPr/>
    <w:rPr>
      <w:b w:val="1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link w:val="C10"/>
    <w:pPr>
      <w:spacing w:after="60"/>
      <w:jc w:val="center"/>
      <w:outlineLvl w:val="1"/>
    </w:pPr>
    <w:rPr/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link w:val="C11"/>
    <w:pPr>
      <w:spacing w:after="120"/>
    </w:pPr>
    <w:rPr/>
  </w:style>
  <w:style w:type="paragraph" w:styleId="P14">
    <w:name w:val="List Number"/>
    <w:basedOn w:val="P0"/>
    <w:next w:val="P14"/>
    <w:pPr>
      <w:tabs>
        <w:tab w:val="left" w:pos="360" w:leader="none"/>
      </w:tabs>
      <w:ind w:hanging="360" w:left="360"/>
    </w:pPr>
    <w:rPr/>
  </w:style>
  <w:style w:type="paragraph" w:styleId="P15">
    <w:name w:val="Body Text Indent"/>
    <w:basedOn w:val="P0"/>
    <w:next w:val="P15"/>
    <w:link w:val="C12"/>
    <w:pPr>
      <w:spacing w:after="120"/>
      <w:ind w:left="283"/>
    </w:pPr>
    <w:rPr/>
  </w:style>
  <w:style w:type="paragraph" w:styleId="P16">
    <w:name w:val="Body Text Indent 2"/>
    <w:basedOn w:val="P0"/>
    <w:next w:val="P16"/>
    <w:link w:val="C13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link w:val="C14"/>
    <w:pPr>
      <w:spacing w:after="120"/>
    </w:pPr>
    <w:rPr>
      <w:sz w:val="16"/>
    </w:rPr>
  </w:style>
  <w:style w:type="paragraph" w:styleId="P18">
    <w:name w:val="Body Text Indent 3"/>
    <w:basedOn w:val="P0"/>
    <w:next w:val="P18"/>
    <w:link w:val="C15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link w:val="C16"/>
    <w:pPr/>
    <w:rPr>
      <w:rFonts w:ascii="Tahoma" w:hAnsi="Tahoma"/>
      <w:sz w:val="16"/>
    </w:rPr>
  </w:style>
  <w:style w:type="paragraph" w:styleId="P20">
    <w:name w:val="Body Text 2"/>
    <w:basedOn w:val="P0"/>
    <w:next w:val="P20"/>
    <w:link w:val="C17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tabs>
        <w:tab w:val="left" w:pos="284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sz w:val="16"/>
    </w:rPr>
  </w:style>
  <w:style w:type="paragraph" w:styleId="P24">
    <w:name w:val="Tabela-Pretkolona"/>
    <w:basedOn w:val="P0"/>
    <w:next w:val="P24"/>
    <w:pPr/>
    <w:rPr>
      <w:sz w:val="16"/>
    </w:rPr>
  </w:style>
  <w:style w:type="paragraph" w:styleId="P25">
    <w:name w:val="Tabela-PretkolonaI"/>
    <w:basedOn w:val="P0"/>
    <w:next w:val="P25"/>
    <w:pPr/>
    <w:rPr>
      <w:i w:val="1"/>
      <w:sz w:val="16"/>
    </w:rPr>
  </w:style>
  <w:style w:type="paragraph" w:styleId="P26">
    <w:name w:val="Tabela-PretkolonaB"/>
    <w:basedOn w:val="P0"/>
    <w:next w:val="P26"/>
    <w:pPr/>
    <w:rPr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sz w:val="16"/>
    </w:rPr>
  </w:style>
  <w:style w:type="paragraph" w:styleId="P28">
    <w:name w:val="Footnote Text"/>
    <w:basedOn w:val="P0"/>
    <w:next w:val="P28"/>
    <w:link w:val="C18"/>
    <w:pPr/>
    <w:rPr/>
  </w:style>
  <w:style w:type="paragraph" w:styleId="P29">
    <w:name w:val="Tabela-BrojeviI"/>
    <w:basedOn w:val="P0"/>
    <w:next w:val="P29"/>
    <w:pPr>
      <w:jc w:val="right"/>
    </w:pPr>
    <w:rPr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link w:val="C19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link w:val="C20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pPr>
      <w:spacing w:lineRule="exact" w:line="240" w:after="160"/>
    </w:pPr>
    <w:rPr>
      <w:rFonts w:ascii="Verdana" w:hAnsi="Verdana"/>
      <w:i w:val="1"/>
    </w:rPr>
  </w:style>
  <w:style w:type="paragraph" w:styleId="P37">
    <w:name w:val="List Paragraph"/>
    <w:basedOn w:val="P0"/>
    <w:next w:val="P37"/>
    <w:pPr>
      <w:ind w:left="720"/>
    </w:pPr>
    <w:rPr/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link w:val="C22"/>
    <w:pPr>
      <w:ind w:firstLine="210"/>
    </w:pPr>
    <w:rPr/>
  </w:style>
  <w:style w:type="paragraph" w:styleId="P40">
    <w:name w:val="Body Text First Indent 2"/>
    <w:basedOn w:val="P15"/>
    <w:next w:val="P40"/>
    <w:link w:val="C23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ing 1 Char"/>
    <w:basedOn w:val="C0"/>
    <w:link w:val="P2"/>
    <w:rPr>
      <w:b w:val="1"/>
      <w:sz w:val="32"/>
    </w:rPr>
  </w:style>
  <w:style w:type="character" w:styleId="C4">
    <w:name w:val="Heading 2 Char"/>
    <w:basedOn w:val="C0"/>
    <w:link w:val="P3"/>
    <w:rPr>
      <w:b w:val="1"/>
      <w:i w:val="1"/>
      <w:sz w:val="28"/>
    </w:rPr>
  </w:style>
  <w:style w:type="character" w:styleId="C5">
    <w:name w:val="Heading 3 Char"/>
    <w:basedOn w:val="C0"/>
    <w:link w:val="P4"/>
    <w:rPr>
      <w:b w:val="1"/>
      <w:sz w:val="26"/>
    </w:rPr>
  </w:style>
  <w:style w:type="character" w:styleId="C6">
    <w:name w:val="Heading 5 Char"/>
    <w:basedOn w:val="C0"/>
    <w:link w:val="P5"/>
    <w:rPr>
      <w:b w:val="1"/>
      <w:i w:val="1"/>
      <w:sz w:val="26"/>
    </w:rPr>
  </w:style>
  <w:style w:type="character" w:styleId="C7">
    <w:name w:val="Heading 6 Char"/>
    <w:basedOn w:val="C0"/>
    <w:link w:val="P6"/>
    <w:rPr>
      <w:b w:val="1"/>
      <w:sz w:val="22"/>
    </w:rPr>
  </w:style>
  <w:style w:type="character" w:styleId="C8">
    <w:name w:val="Heading 7 Char"/>
    <w:basedOn w:val="C0"/>
    <w:link w:val="P7"/>
    <w:rPr/>
  </w:style>
  <w:style w:type="character" w:styleId="C9">
    <w:name w:val="Title Char"/>
    <w:basedOn w:val="C0"/>
    <w:link w:val="P8"/>
    <w:rPr>
      <w:b w:val="1"/>
      <w:sz w:val="32"/>
    </w:rPr>
  </w:style>
  <w:style w:type="character" w:styleId="C10">
    <w:name w:val="Subtitle Char"/>
    <w:basedOn w:val="C0"/>
    <w:link w:val="P11"/>
    <w:rPr/>
  </w:style>
  <w:style w:type="character" w:styleId="C11">
    <w:name w:val="Body Text Char"/>
    <w:basedOn w:val="C0"/>
    <w:link w:val="P13"/>
    <w:rPr/>
  </w:style>
  <w:style w:type="character" w:styleId="C12">
    <w:name w:val="Body Text Indent Char"/>
    <w:basedOn w:val="C0"/>
    <w:link w:val="P15"/>
    <w:rPr/>
  </w:style>
  <w:style w:type="character" w:styleId="C13">
    <w:name w:val="Body Text Indent 2 Char"/>
    <w:basedOn w:val="C0"/>
    <w:link w:val="P16"/>
    <w:rPr/>
  </w:style>
  <w:style w:type="character" w:styleId="C14">
    <w:name w:val="Body Text 3 Char"/>
    <w:basedOn w:val="C0"/>
    <w:link w:val="P17"/>
    <w:rPr>
      <w:sz w:val="16"/>
    </w:rPr>
  </w:style>
  <w:style w:type="character" w:styleId="C15">
    <w:name w:val="Body Text Indent 3 Char"/>
    <w:basedOn w:val="C0"/>
    <w:link w:val="P18"/>
    <w:rPr>
      <w:sz w:val="16"/>
    </w:rPr>
  </w:style>
  <w:style w:type="character" w:styleId="C16">
    <w:name w:val="Balloon Text Char"/>
    <w:basedOn w:val="C0"/>
    <w:link w:val="P19"/>
    <w:rPr>
      <w:rFonts w:ascii="Tahoma" w:hAnsi="Tahoma"/>
      <w:sz w:val="16"/>
    </w:rPr>
  </w:style>
  <w:style w:type="character" w:styleId="C17">
    <w:name w:val="Body Text 2 Char"/>
    <w:basedOn w:val="C0"/>
    <w:link w:val="P20"/>
    <w:rPr/>
  </w:style>
  <w:style w:type="character" w:styleId="C18">
    <w:name w:val="Footnote Text Char"/>
    <w:basedOn w:val="C0"/>
    <w:link w:val="P28"/>
    <w:rPr/>
  </w:style>
  <w:style w:type="character" w:styleId="C19">
    <w:name w:val="Header Char"/>
    <w:basedOn w:val="C0"/>
    <w:link w:val="P34"/>
    <w:rPr/>
  </w:style>
  <w:style w:type="character" w:styleId="C20">
    <w:name w:val="Footer Char"/>
    <w:basedOn w:val="C0"/>
    <w:link w:val="P35"/>
    <w:rPr/>
  </w:style>
  <w:style w:type="character" w:styleId="C21">
    <w:name w:val="FollowedHyperlink"/>
    <w:basedOn w:val="C0"/>
    <w:rPr>
      <w:color w:val="800080"/>
      <w:u w:val="single"/>
    </w:rPr>
  </w:style>
  <w:style w:type="character" w:styleId="C22">
    <w:name w:val="Body Text First Indent Char"/>
    <w:basedOn w:val="C11"/>
    <w:link w:val="P39"/>
    <w:rPr/>
  </w:style>
  <w:style w:type="character" w:styleId="C23">
    <w:name w:val="Body Text First Indent 2 Char"/>
    <w:basedOn w:val="C12"/>
    <w:link w:val="P4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rPr>
      <w:rFonts w:ascii="Arial" w:hAnsi="Arial"/>
    </w:rPr>
    <w:tblPr/>
    <w:trPr/>
    <w:tcPr/>
  </w:style>
  <w:style w:type="table" w:styleId="T5">
    <w:name w:val="Table List 6"/>
    <w:basedOn w:val="T2"/>
    <w:rPr>
      <w:rFonts w:ascii="Arial" w:hAnsi="Arial"/>
    </w:rPr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rPr>
      <w:rFonts w:ascii="Arial" w:hAnsi="Arial"/>
    </w:rPr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rPr>
      <w:rFonts w:ascii="Arial" w:hAnsi="Arial"/>
    </w:rPr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2013-07-02T09:15:00Z</dcterms:created>
  <cp:lastModifiedBy>Nikola Kapetanovic</cp:lastModifiedBy>
  <cp:lastPrinted>2013-06-27T13:05:00Z</cp:lastPrinted>
  <dcterms:modified xsi:type="dcterms:W3CDTF">2020-01-10T11:17:17Z</dcterms:modified>
  <cp:revision>3</cp:revision>
  <dc:title>                  </dc:title>
</cp:coreProperties>
</file>