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A1E64B" Type="http://schemas.openxmlformats.org/officeDocument/2006/relationships/officeDocument" Target="/word/document.xml" /><Relationship Id="coreR47A1E6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</w:rPr>
            </w:pPr>
            <w:r>
              <w:rPr>
                <w:rFonts w:ascii="Arial" w:hAnsi="Arial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STATISTICAL RELEASE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ZS60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167 • Year LXIII, 28/06/2013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Environmental statistics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</w:rPr>
            </w:pPr>
            <w:r>
              <w:rPr>
                <w:rFonts w:ascii="Arial" w:hAnsi="Arial"/>
              </w:rPr>
              <w:t>SERB167 ZS60 280613</w:t>
            </w:r>
          </w:p>
        </w:tc>
      </w:tr>
    </w:tbl>
    <w:p/>
    <w:p/>
    <w:p/>
    <w:p>
      <w:pPr>
        <w:spacing w:lineRule="auto" w:line="120" w:before="360" w:after="12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Industrial waste</w:t>
      </w:r>
      <w:r>
        <w:rPr>
          <w:rFonts w:ascii="Arial" w:hAnsi="Arial"/>
          <w:b w:val="1"/>
        </w:rPr>
        <w:t xml:space="preserve"> in </w:t>
      </w:r>
      <w:r>
        <w:rPr>
          <w:rFonts w:ascii="Arial" w:hAnsi="Arial"/>
          <w:b w:val="1"/>
        </w:rPr>
        <w:t xml:space="preserve">the </w:t>
      </w:r>
      <w:r>
        <w:rPr>
          <w:rFonts w:ascii="Arial" w:hAnsi="Arial"/>
          <w:b w:val="1"/>
        </w:rPr>
        <w:t>Republic of Serbia</w:t>
      </w:r>
      <w:r>
        <w:rPr>
          <w:rFonts w:ascii="Arial" w:hAnsi="Arial"/>
          <w:b w:val="1"/>
        </w:rPr>
        <w:t>,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2</w:t>
      </w:r>
    </w:p>
    <w:p>
      <w:pPr>
        <w:spacing w:before="240" w:after="12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Preliminary results </w:t>
      </w:r>
      <w:r>
        <w:rPr>
          <w:rFonts w:ascii="Arial" w:hAnsi="Arial"/>
          <w:b w:val="1"/>
          <w:sz w:val="22"/>
        </w:rPr>
        <w:t>–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During the year 2012, the industrial sections in the Republic of Serbia produced 54.4 million tonnes of waste, </w:t>
      </w:r>
      <w:r>
        <w:rPr>
          <w:rStyle w:val="C7"/>
          <w:rFonts w:ascii="Arial" w:hAnsi="Arial"/>
          <w:sz w:val="20"/>
        </w:rPr>
        <w:t>recording an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increase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of 11.1</w:t>
      </w:r>
      <w:r>
        <w:rPr>
          <w:rFonts w:ascii="Arial" w:hAnsi="Arial"/>
          <w:sz w:val="20"/>
        </w:rPr>
        <w:t xml:space="preserve">% </w:t>
      </w:r>
      <w:r>
        <w:rPr>
          <w:rStyle w:val="C7"/>
          <w:rFonts w:ascii="Arial" w:hAnsi="Arial"/>
          <w:sz w:val="20"/>
        </w:rPr>
        <w:t>compared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with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previous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results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obtained</w:t>
      </w:r>
      <w:r>
        <w:rPr>
          <w:rFonts w:ascii="Arial" w:hAnsi="Arial"/>
          <w:sz w:val="20"/>
        </w:rPr>
        <w:t xml:space="preserve"> according to the </w:t>
      </w:r>
      <w:r>
        <w:rPr>
          <w:rStyle w:val="C7"/>
          <w:rFonts w:ascii="Arial" w:hAnsi="Arial"/>
          <w:sz w:val="20"/>
        </w:rPr>
        <w:t>Survey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on industrial waste</w:t>
      </w:r>
      <w:r>
        <w:rPr>
          <w:rFonts w:ascii="Arial" w:hAnsi="Arial"/>
          <w:sz w:val="20"/>
        </w:rPr>
        <w:t>.</w:t>
      </w:r>
      <w:r>
        <w:rPr>
          <w:rStyle w:val="C7"/>
          <w:rFonts w:ascii="Arial" w:hAnsi="Arial"/>
          <w:sz w:val="20"/>
        </w:rPr>
        <w:t xml:space="preserve"> The largest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increase in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the amount of waste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generated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is recorded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in the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 xml:space="preserve">section </w:t>
      </w:r>
      <w:r>
        <w:rPr>
          <w:rFonts w:ascii="Arial" w:hAnsi="Arial"/>
          <w:sz w:val="20"/>
        </w:rPr>
        <w:t>Mining and quarrying (</w:t>
      </w:r>
      <w:r>
        <w:rPr>
          <w:rStyle w:val="C7"/>
          <w:rFonts w:ascii="Arial" w:hAnsi="Arial"/>
          <w:sz w:val="20"/>
        </w:rPr>
        <w:t>15.4%)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 xml:space="preserve">while the sections </w:t>
      </w:r>
      <w:r>
        <w:rPr>
          <w:rFonts w:ascii="Arial" w:hAnsi="Arial"/>
          <w:sz w:val="20"/>
        </w:rPr>
        <w:t>Manufacturing</w:t>
      </w:r>
      <w:r>
        <w:rPr>
          <w:rStyle w:val="C10"/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has</w:t>
      </w:r>
      <w:r>
        <w:rPr>
          <w:rStyle w:val="C10"/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decreased by</w:t>
      </w:r>
      <w:r>
        <w:rPr>
          <w:rStyle w:val="C10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28.9%</w:t>
      </w:r>
      <w:r>
        <w:rPr>
          <w:rStyle w:val="C7"/>
          <w:rFonts w:ascii="Arial" w:hAnsi="Arial"/>
          <w:color w:val="333333"/>
        </w:rPr>
        <w:t xml:space="preserve"> </w:t>
      </w:r>
      <w:r>
        <w:rPr>
          <w:rStyle w:val="C7"/>
          <w:rFonts w:ascii="Arial" w:hAnsi="Arial"/>
          <w:sz w:val="20"/>
        </w:rPr>
        <w:t>as well as</w:t>
      </w:r>
      <w:r>
        <w:rPr>
          <w:rStyle w:val="C7"/>
          <w:rFonts w:ascii="Arial" w:hAnsi="Arial"/>
        </w:rPr>
        <w:t xml:space="preserve"> </w:t>
      </w:r>
      <w:r>
        <w:rPr>
          <w:rStyle w:val="C7"/>
          <w:rFonts w:ascii="Arial" w:hAnsi="Arial"/>
          <w:sz w:val="20"/>
        </w:rPr>
        <w:t>section</w:t>
      </w:r>
      <w:r>
        <w:rPr>
          <w:rStyle w:val="C7"/>
          <w:rFonts w:ascii="Arial" w:hAnsi="Arial"/>
          <w:color w:val="333333"/>
        </w:rPr>
        <w:t xml:space="preserve"> </w:t>
      </w:r>
      <w:r>
        <w:rPr>
          <w:rStyle w:val="C7"/>
          <w:rFonts w:ascii="Arial" w:hAnsi="Arial"/>
          <w:sz w:val="20"/>
        </w:rPr>
        <w:t>Electricity</w:t>
      </w:r>
      <w:r>
        <w:rPr>
          <w:rFonts w:ascii="Arial" w:hAnsi="Arial"/>
          <w:sz w:val="20"/>
        </w:rPr>
        <w:t xml:space="preserve">, </w:t>
      </w:r>
      <w:r>
        <w:rPr>
          <w:rStyle w:val="C7"/>
          <w:rFonts w:ascii="Arial" w:hAnsi="Arial"/>
          <w:sz w:val="20"/>
        </w:rPr>
        <w:t>gas</w:t>
      </w:r>
      <w:r>
        <w:rPr>
          <w:rFonts w:ascii="Arial" w:hAnsi="Arial"/>
          <w:sz w:val="20"/>
        </w:rPr>
        <w:t xml:space="preserve">, steam and air conditioning supply </w:t>
      </w:r>
      <w:r>
        <w:rPr>
          <w:rStyle w:val="C7"/>
          <w:rFonts w:ascii="Arial" w:hAnsi="Arial"/>
          <w:sz w:val="20"/>
        </w:rPr>
        <w:t>by</w:t>
      </w:r>
      <w:r>
        <w:rPr>
          <w:rStyle w:val="C10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9.6%.</w:t>
      </w:r>
    </w:p>
    <w:p>
      <w:pPr>
        <w:spacing w:lineRule="auto" w:line="216" w:before="40" w:after="40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>
      <w:pPr>
        <w:spacing w:lineRule="auto" w:line="216" w:before="40" w:after="40"/>
        <w:ind w:firstLine="720"/>
        <w:jc w:val="both"/>
        <w:rPr>
          <w:rFonts w:ascii="Arial" w:hAnsi="Arial"/>
          <w:i w:val="0"/>
          <w:sz w:val="20"/>
        </w:rPr>
      </w:pPr>
    </w:p>
    <w:p>
      <w:pPr>
        <w:spacing w:lineRule="auto" w:line="216" w:before="40" w:after="40"/>
        <w:ind w:firstLine="720"/>
        <w:jc w:val="both"/>
        <w:rPr>
          <w:rFonts w:ascii="Arial" w:hAnsi="Arial"/>
          <w:i w:val="0"/>
          <w:sz w:val="20"/>
        </w:rPr>
      </w:pPr>
    </w:p>
    <w:p>
      <w:pPr>
        <w:spacing w:after="40"/>
        <w:ind w:left="3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Generated industrial waste</w:t>
      </w:r>
      <w:r>
        <w:rPr>
          <w:rFonts w:ascii="Arial" w:hAnsi="Arial"/>
          <w:b w:val="1"/>
          <w:sz w:val="20"/>
        </w:rPr>
        <w:t xml:space="preserve"> in the Republic of Serbia</w:t>
      </w:r>
      <w:r>
        <w:rPr>
          <w:rFonts w:ascii="Arial" w:hAnsi="Arial"/>
          <w:b w:val="1"/>
          <w:sz w:val="20"/>
        </w:rPr>
        <w:t xml:space="preserve">, by sections, 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10</w:t>
      </w:r>
      <w:r>
        <w:rPr>
          <w:rFonts w:ascii="Arial" w:hAnsi="Arial"/>
          <w:b w:val="1"/>
          <w:sz w:val="20"/>
        </w:rPr>
        <w:t>–</w:t>
      </w:r>
      <w:r>
        <w:rPr>
          <w:rFonts w:ascii="Arial" w:hAnsi="Arial"/>
          <w:b w:val="1"/>
          <w:sz w:val="20"/>
        </w:rPr>
        <w:t>201</w:t>
      </w:r>
      <w:r>
        <w:rPr>
          <w:rFonts w:ascii="Arial" w:hAnsi="Arial"/>
          <w:b w:val="1"/>
          <w:sz w:val="20"/>
        </w:rPr>
        <w:t>2</w:t>
      </w:r>
    </w:p>
    <w:p>
      <w:pPr>
        <w:spacing w:after="40"/>
        <w:ind w:right="57"/>
        <w:jc w:val="right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t</w:t>
      </w:r>
    </w:p>
    <w:tbl>
      <w:tblPr>
        <w:tblStyle w:val="T3"/>
        <w:tblW w:w="0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after="40"/>
              <w:rPr>
                <w:b w:val="1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</w:tcBorders>
          </w:tcPr>
          <w:p>
            <w:pPr>
              <w:spacing w:after="40"/>
              <w:jc w:val="right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</w:tcBorders>
          </w:tcPr>
          <w:p>
            <w:pPr>
              <w:spacing w:after="40"/>
              <w:jc w:val="right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</w:tcBorders>
          </w:tcPr>
          <w:p>
            <w:pPr>
              <w:spacing w:after="4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Generated waste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33 622 998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48 985 948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54 430 </w:t>
            </w:r>
            <w:r>
              <w:rPr>
                <w:rFonts w:ascii="Arial" w:hAnsi="Arial"/>
                <w:b w:val="1"/>
                <w:sz w:val="16"/>
              </w:rPr>
              <w:t>856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after="40"/>
              <w:ind w:left="14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Mining and quarrying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26 458 201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41 517 933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47 896 172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after="40"/>
              <w:ind w:left="14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Manufacturing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1 146 010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1 112 348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790 852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after="40"/>
              <w:ind w:left="14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Electricity, gas, steam and air conditioning supply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6 018 787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6 355 668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5 743 832</w:t>
            </w:r>
          </w:p>
        </w:tc>
      </w:tr>
    </w:tbl>
    <w:p>
      <w:pPr>
        <w:spacing w:after="40"/>
        <w:ind w:left="360"/>
        <w:jc w:val="center"/>
        <w:rPr>
          <w:rFonts w:ascii="Arial" w:hAnsi="Arial"/>
          <w:b w:val="1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Of the total amount of 54 430 856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sz w:val="20"/>
        </w:rPr>
        <w:t xml:space="preserve">tons of industrial waste, the section Mining and quarrying generated                 47 896 172 tons (69.98% and 30.02% of non-hazardous and hazardous waste respectively), Manufacturing                   790 852 tons (91.21% and 8.79% of non-hazardous and hazardous waste respectively), and Electricity, Gas, Steam and Air Conditioning Supply 5 743 832 tons (99.98% and 0.02% оf non-hazardous and hazardous waste respectively).</w:t>
      </w:r>
    </w:p>
    <w:p>
      <w:pPr>
        <w:spacing w:lineRule="auto" w:line="221"/>
        <w:rPr>
          <w:rFonts w:ascii="Arial" w:hAnsi="Arial"/>
          <w:b w:val="1"/>
          <w:sz w:val="12"/>
        </w:rPr>
      </w:pPr>
    </w:p>
    <w:p>
      <w:pPr>
        <w:ind w:firstLine="720"/>
        <w:jc w:val="center"/>
        <w:rPr>
          <w:rFonts w:ascii="Arial" w:hAnsi="Arial"/>
          <w:b w:val="1"/>
          <w:sz w:val="18"/>
        </w:rPr>
      </w:pPr>
    </w:p>
    <w:p>
      <w:pPr>
        <w:ind w:firstLine="720"/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Graph 1 </w:t>
      </w:r>
      <w:r>
        <w:rPr>
          <w:rFonts w:ascii="Arial" w:hAnsi="Arial"/>
          <w:sz w:val="18"/>
        </w:rPr>
        <w:t>-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Percentage of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generated waste</w:t>
      </w:r>
      <w:r>
        <w:rPr>
          <w:rFonts w:ascii="Arial" w:hAnsi="Arial"/>
          <w:b w:val="1"/>
          <w:sz w:val="18"/>
        </w:rPr>
        <w:t xml:space="preserve"> in the Republic of Serbia</w:t>
      </w:r>
      <w:r>
        <w:rPr>
          <w:rFonts w:ascii="Arial" w:hAnsi="Arial"/>
          <w:b w:val="1"/>
          <w:sz w:val="18"/>
        </w:rPr>
        <w:t>,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by sections</w:t>
      </w:r>
      <w:r>
        <w:rPr>
          <w:rFonts w:ascii="Arial" w:hAnsi="Arial"/>
          <w:b w:val="1"/>
          <w:sz w:val="18"/>
        </w:rPr>
        <w:t xml:space="preserve">, </w:t>
      </w:r>
      <w:r>
        <w:rPr>
          <w:rFonts w:ascii="Arial" w:hAnsi="Arial"/>
          <w:b w:val="1"/>
          <w:sz w:val="18"/>
        </w:rPr>
        <w:t>20</w:t>
      </w:r>
      <w:r>
        <w:rPr>
          <w:rFonts w:ascii="Arial" w:hAnsi="Arial"/>
          <w:b w:val="1"/>
          <w:sz w:val="18"/>
        </w:rPr>
        <w:t>10</w:t>
      </w:r>
      <w:r>
        <w:rPr>
          <w:rFonts w:ascii="Arial" w:hAnsi="Arial"/>
          <w:b w:val="1"/>
          <w:sz w:val="18"/>
        </w:rPr>
        <w:t>–20</w:t>
      </w:r>
      <w:r>
        <w:rPr>
          <w:rFonts w:ascii="Arial" w:hAnsi="Arial"/>
          <w:b w:val="1"/>
          <w:sz w:val="18"/>
        </w:rPr>
        <w:t>12</w:t>
      </w:r>
    </w:p>
    <w:p>
      <w:pPr>
        <w:jc w:val="center"/>
      </w:pPr>
      <w:r>
        <w:rPr>
          <w:rFonts w:ascii="Arial" w:hAnsi="Arial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561965" cy="235204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2352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Rule="auto" w:line="221"/>
        <w:jc w:val="center"/>
        <w:rPr>
          <w:rFonts w:ascii="Arial" w:hAnsi="Arial"/>
          <w:b w:val="1"/>
          <w:sz w:val="20"/>
        </w:rPr>
      </w:pPr>
    </w:p>
    <w:p>
      <w:pPr>
        <w:spacing w:after="4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</w: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Waste generated in the Republic of Serbia, by EWC-Stat</w:t>
      </w:r>
    </w:p>
    <w:p>
      <w:pPr>
        <w:spacing w:after="40"/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t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247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EWC</w:t>
            </w:r>
            <w:r>
              <w:rPr>
                <w:rFonts w:ascii="Arial" w:hAnsi="Arial"/>
                <w:sz w:val="16"/>
              </w:rPr>
              <w:t>-Stat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362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Character of waste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88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363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Waste generated, 2012</w:t>
            </w:r>
          </w:p>
        </w:tc>
      </w:tr>
      <w:tr>
        <w:trPr>
          <w:wAfter w:w="0" w:type="dxa"/>
        </w:trPr>
        <w:tc>
          <w:tcPr>
            <w:tcW w:w="1247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8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Mining and quarrying</w:t>
            </w:r>
          </w:p>
        </w:tc>
        <w:tc>
          <w:tcPr>
            <w:tcW w:w="8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Manu-facturing industry</w:t>
            </w:r>
          </w:p>
        </w:tc>
        <w:tc>
          <w:tcPr>
            <w:tcW w:w="9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3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8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Total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48 985 948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54 430 </w:t>
            </w:r>
            <w:r>
              <w:rPr>
                <w:rFonts w:ascii="Arial" w:hAnsi="Arial"/>
                <w:b w:val="1"/>
                <w:sz w:val="16"/>
              </w:rPr>
              <w:t>856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47 896 172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790 </w:t>
            </w:r>
            <w:r>
              <w:rPr>
                <w:rFonts w:ascii="Arial" w:hAnsi="Arial"/>
                <w:b w:val="1"/>
                <w:sz w:val="16"/>
              </w:rPr>
              <w:t>852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5 743 832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Non hazardous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36 217 246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39 981 </w:t>
            </w:r>
            <w:r>
              <w:rPr>
                <w:rFonts w:ascii="Arial" w:hAnsi="Arial"/>
                <w:b w:val="1"/>
                <w:sz w:val="16"/>
              </w:rPr>
              <w:t>949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33 517 717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721 </w:t>
            </w:r>
            <w:r>
              <w:rPr>
                <w:rFonts w:ascii="Arial" w:hAnsi="Arial"/>
                <w:b w:val="1"/>
                <w:sz w:val="16"/>
              </w:rPr>
              <w:t>348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5 742 884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Hazardous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12 768 703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14 448 907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14 378 455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69 503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948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b w:val="1"/>
                <w:sz w:val="16"/>
              </w:rPr>
            </w:pP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Spent solvents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01.2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Acid, alkaline or saline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47 825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46 107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46 107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01.3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Used oils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1 776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1 497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1 078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01.4, 02, 03.1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Chemical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1 896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3 740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2 875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5 823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3 343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2 908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03.2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Industrial effluent sludges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7 483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1 898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1 898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1 691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03.3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Sludges and liquid wastes from waste treatment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 care and biological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Metallic wastes, ferrous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60 464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67 100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5 262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50 156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11 681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06.2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Metallic wastes, non-ferrous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3 150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6 407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5 773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574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06.3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Metallic wastes, mixed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3 776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9 522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3 764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5 648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Glass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22 990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7 334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7 334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07.2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Paper and cardboard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16 989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26 545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26 461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Rubber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1 331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6 075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5 237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07.4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Plastic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9 451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13 938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12 898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07.5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Wood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33 181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46 440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44 984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1 222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1 957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1 892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1 888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07.6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Textile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1 190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3 321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3 320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07.7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Waste containing PCB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Discarded equipment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Discarded vehicles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725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08.41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Batteries and accumulators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2 649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1 373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1 282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Animal and mixed food waste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15 616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19 167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18 975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09.2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Vegetal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180 931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130 550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130 550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09.3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Animal faeces, urine and manure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1 179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6 271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6 271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Household and similar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20 761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21 766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21 459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10.2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Mixed and undifferentiated materials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366 737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145 614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1 419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144 178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596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Sorting residues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427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Common sludges 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Mineral waste from construction and demolition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2 247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2 697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1 498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698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12.2, 12.3, 12.5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mineral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28 910 603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33 533 764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33 469 558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63 946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12 700 906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14 379 592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14 378 211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1 310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12.4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Combustion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6 548 372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5 925 217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30 586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169 830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5 724 801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4 049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13 346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13 328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12.6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Soils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3 461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2 473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1 703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12.7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Dredging spoils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3 641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12.8, 13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Mineral waste from waste treatment and stabilised waste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83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H - Hazardous / NH - Non hazardous.</w:t>
      </w:r>
    </w:p>
    <w:p>
      <w:pPr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2</w:t>
      </w:r>
      <w:r>
        <w:rPr>
          <w:rFonts w:ascii="Arial" w:hAnsi="Arial"/>
          <w:sz w:val="14"/>
        </w:rPr>
        <w:t xml:space="preserve"> Statistical European Waste Classification (</w:t>
      </w:r>
      <w:r>
        <w:rPr>
          <w:rFonts w:ascii="Arial" w:hAnsi="Arial"/>
          <w:i w:val="1"/>
          <w:sz w:val="14"/>
        </w:rPr>
        <w:t>EWC</w:t>
      </w:r>
      <w:r>
        <w:rPr>
          <w:rFonts w:ascii="Arial" w:hAnsi="Arial"/>
          <w:sz w:val="14"/>
        </w:rPr>
        <w:t xml:space="preserve">-Stat), According to Commission Regulation No 849/2010 </w:t>
      </w:r>
    </w:p>
    <w:p>
      <w:pPr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3)</w:t>
      </w:r>
      <w:r>
        <w:rPr>
          <w:rFonts w:ascii="Arial" w:hAnsi="Arial"/>
          <w:sz w:val="14"/>
        </w:rPr>
        <w:t xml:space="preserve"> Sludges (</w:t>
      </w:r>
      <w:r>
        <w:rPr>
          <w:rFonts w:ascii="Arial" w:hAnsi="Arial"/>
          <w:i w:val="1"/>
          <w:sz w:val="14"/>
        </w:rPr>
        <w:t>EWC</w:t>
      </w:r>
      <w:r>
        <w:rPr>
          <w:rFonts w:ascii="Arial" w:hAnsi="Arial"/>
          <w:sz w:val="14"/>
        </w:rPr>
        <w:t>-Stat categories 03.2, 03.3, 11 and 12.7) in dry weight.</w:t>
      </w:r>
    </w:p>
    <w:p>
      <w:pPr>
        <w:spacing w:lineRule="auto" w:line="216"/>
        <w:rPr>
          <w:rFonts w:ascii="Arial" w:hAnsi="Arial"/>
          <w:b w:val="1"/>
          <w:sz w:val="12"/>
        </w:rPr>
      </w:pPr>
    </w:p>
    <w:p>
      <w:pPr>
        <w:spacing w:lineRule="auto" w:line="216"/>
        <w:rPr>
          <w:b w:val="1"/>
        </w:rPr>
      </w:pPr>
    </w:p>
    <w:p>
      <w:pPr>
        <w:spacing w:lineRule="auto" w:line="216" w:after="40"/>
        <w:jc w:val="center"/>
        <w:rPr>
          <w:rFonts w:ascii="Arial" w:hAnsi="Arial"/>
          <w:b w:val="1"/>
          <w:sz w:val="20"/>
        </w:rPr>
      </w:pPr>
    </w:p>
    <w:p>
      <w:pPr>
        <w:spacing w:lineRule="auto" w:line="216" w:after="4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 xml:space="preserve">Waste treatment </w:t>
      </w:r>
      <w:r>
        <w:rPr>
          <w:rFonts w:ascii="Arial" w:hAnsi="Arial"/>
          <w:b w:val="1"/>
          <w:sz w:val="20"/>
        </w:rPr>
        <w:t xml:space="preserve">in the Republic of Serbia, </w:t>
      </w:r>
      <w:r>
        <w:rPr>
          <w:rFonts w:ascii="Arial" w:hAnsi="Arial"/>
          <w:b w:val="1"/>
          <w:sz w:val="20"/>
        </w:rPr>
        <w:t xml:space="preserve">by </w:t>
      </w:r>
      <w:r>
        <w:rPr>
          <w:rFonts w:ascii="Arial" w:hAnsi="Arial"/>
          <w:b w:val="1"/>
          <w:sz w:val="20"/>
        </w:rPr>
        <w:t>treatment category</w:t>
      </w:r>
    </w:p>
    <w:p>
      <w:pPr>
        <w:spacing w:after="40"/>
        <w:ind w:right="57"/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t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990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3402" w:type="dxa"/>
            <w:gridSpan w:val="2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Waste treated, 2012</w:t>
            </w:r>
          </w:p>
        </w:tc>
      </w:tr>
      <w:tr>
        <w:trPr>
          <w:wAfter w:w="0" w:type="dxa"/>
        </w:trPr>
        <w:tc>
          <w:tcPr>
            <w:tcW w:w="4990" w:type="dxa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 which: hazardous</w:t>
            </w:r>
          </w:p>
        </w:tc>
      </w:tr>
      <w:tr>
        <w:trPr>
          <w:wAfter w:w="0" w:type="dxa"/>
        </w:trPr>
        <w:tc>
          <w:tcPr>
            <w:tcW w:w="4990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9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Used principally as a fuel or other means to generate energy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24 817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48 387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</w:tr>
      <w:tr>
        <w:trPr>
          <w:wAfter w:w="0" w:type="dxa"/>
        </w:trPr>
        <w:tc>
          <w:tcPr>
            <w:tcW w:w="499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Incineration on land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4 874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869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</w:tr>
      <w:tr>
        <w:trPr>
          <w:wAfter w:w="0" w:type="dxa"/>
        </w:trPr>
        <w:tc>
          <w:tcPr>
            <w:tcW w:w="499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Recovery 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9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Recycling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764 753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464 530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42 127</w:t>
            </w:r>
          </w:p>
        </w:tc>
      </w:tr>
      <w:tr>
        <w:trPr>
          <w:wAfter w:w="0" w:type="dxa"/>
        </w:trPr>
        <w:tc>
          <w:tcPr>
            <w:tcW w:w="499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Deposit into or onto land (e.g. landfill)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47 785 864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54 157 063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14 386 858</w:t>
            </w:r>
          </w:p>
        </w:tc>
      </w:tr>
      <w:tr>
        <w:trPr>
          <w:wAfter w:w="0" w:type="dxa"/>
          <w:trHeight w:hRule="atLeast" w:val="182"/>
        </w:trPr>
        <w:tc>
          <w:tcPr>
            <w:tcW w:w="499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Other disposal  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105 005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53 787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</w:tr>
    </w:tbl>
    <w:p>
      <w:pPr>
        <w:spacing w:lineRule="auto" w:line="216"/>
        <w:rPr>
          <w:sz w:val="12"/>
          <w:vertAlign w:val="superscript"/>
        </w:rPr>
      </w:pPr>
    </w:p>
    <w:p>
      <w:pPr>
        <w:spacing w:lineRule="auto" w:line="216"/>
        <w:rPr>
          <w:sz w:val="12"/>
          <w:vertAlign w:val="superscript"/>
        </w:rPr>
      </w:pPr>
    </w:p>
    <w:p>
      <w:pPr>
        <w:spacing w:lineRule="auto" w:line="216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Also include waste </w:t>
      </w:r>
      <w:r>
        <w:rPr>
          <w:rStyle w:val="C7"/>
          <w:rFonts w:ascii="Arial" w:hAnsi="Arial"/>
          <w:sz w:val="14"/>
        </w:rPr>
        <w:t>received</w:t>
      </w:r>
      <w:r>
        <w:rPr>
          <w:rFonts w:ascii="Arial" w:hAnsi="Arial"/>
          <w:sz w:val="14"/>
        </w:rPr>
        <w:t xml:space="preserve"> from other enterprises and exclude waste internally recycling from industrial activities.</w:t>
      </w:r>
    </w:p>
    <w:p>
      <w:pPr>
        <w:spacing w:before="720" w:after="240"/>
        <w:jc w:val="center"/>
        <w:rPr>
          <w:rFonts w:ascii="Arial" w:hAnsi="Arial"/>
          <w:b w:val="1"/>
          <w:sz w:val="21"/>
        </w:rPr>
      </w:pPr>
    </w:p>
    <w:p>
      <w:pPr>
        <w:spacing w:before="720" w:after="240"/>
        <w:jc w:val="center"/>
        <w:rPr>
          <w:rFonts w:ascii="Arial" w:hAnsi="Arial"/>
          <w:b w:val="1"/>
          <w:sz w:val="21"/>
        </w:rPr>
      </w:pPr>
      <w:r>
        <w:rPr>
          <w:rFonts w:ascii="Arial" w:hAnsi="Arial"/>
          <w:b w:val="1"/>
          <w:sz w:val="21"/>
        </w:rPr>
        <w:t>E</w:t>
      </w:r>
      <w:r>
        <w:rPr>
          <w:rFonts w:ascii="Arial" w:hAnsi="Arial"/>
          <w:b w:val="1"/>
          <w:sz w:val="21"/>
        </w:rPr>
        <w:t>xplanatory notes</w:t>
      </w:r>
    </w:p>
    <w:p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Methodological explanations on Industrial waste can be found on the SORS website</w:t>
      </w:r>
      <w:r>
        <w:rPr>
          <w:rFonts w:ascii="Arial" w:hAnsi="Arial"/>
          <w:color w:val="000000"/>
          <w:sz w:val="19"/>
        </w:rPr>
        <w:t>: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fldChar w:fldCharType="begin"/>
      </w:r>
      <w:r>
        <w:rPr>
          <w:rFonts w:ascii="Arial" w:hAnsi="Arial"/>
          <w:color w:val="0000FF"/>
          <w:sz w:val="20"/>
        </w:rPr>
        <w:instrText xml:space="preserve"> HYPERLINK "http://webrzs.stat.gov.rs/WebSite/Public/PageView.aspx?pKey=201" </w:instrText>
      </w:r>
      <w:r>
        <w:rPr>
          <w:rFonts w:ascii="Arial" w:hAnsi="Arial"/>
          <w:color w:val="0000FF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http://webrzs.stat.gov.rs/WebSite/Public/PageView.aspx?pKey=201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>.</w:t>
      </w:r>
    </w:p>
    <w:p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Data series on Industrial waste from the reference year 2008 are available as a part of the SORS</w:t>
      </w:r>
    </w:p>
    <w:p>
      <w:pPr>
        <w:rPr>
          <w:rFonts w:ascii="Arial" w:hAnsi="Arial"/>
          <w:color w:val="000000"/>
          <w:sz w:val="17"/>
        </w:rPr>
      </w:pPr>
      <w:r>
        <w:rPr>
          <w:rFonts w:ascii="Arial" w:hAnsi="Arial"/>
          <w:color w:val="000000"/>
          <w:sz w:val="20"/>
        </w:rPr>
        <w:t xml:space="preserve">publications: </w:t>
      </w:r>
      <w:r>
        <w:rPr>
          <w:rFonts w:ascii="Arial" w:hAnsi="Arial"/>
          <w:color w:val="0000FF"/>
          <w:sz w:val="20"/>
        </w:rPr>
        <w:t>http://webrzs.stat.gov.rs/WebSite/Public/PageView.aspx?pKey=200</w:t>
      </w:r>
      <w:r>
        <w:rPr>
          <w:rFonts w:ascii="Arial" w:hAnsi="Arial"/>
          <w:color w:val="000000"/>
          <w:sz w:val="17"/>
        </w:rPr>
        <w:t>.</w:t>
      </w:r>
    </w:p>
    <w:p>
      <w:pPr>
        <w:spacing w:before="120"/>
        <w:ind w:firstLine="397"/>
        <w:jc w:val="both"/>
        <w:rPr>
          <w:rFonts w:ascii="Arial" w:hAnsi="Arial"/>
          <w:color w:val="000000"/>
          <w:sz w:val="20"/>
        </w:rPr>
      </w:pPr>
    </w:p>
    <w:p>
      <w:pPr>
        <w:rPr>
          <w:rFonts w:ascii="ArialMT" w:hAnsi="ArialMT"/>
          <w:color w:val="000000"/>
          <w:sz w:val="18"/>
        </w:rPr>
      </w:pPr>
    </w:p>
    <w:p>
      <w:pPr>
        <w:rPr>
          <w:rFonts w:ascii="ArialMT" w:hAnsi="ArialMT"/>
          <w:color w:val="000000"/>
          <w:sz w:val="18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i w:val="0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2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27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</w:tr>
    </w:tbl>
    <w:p>
      <w:pPr>
        <w:jc w:val="center"/>
        <w:rPr>
          <w:rFonts w:ascii="Arial" w:hAnsi="Arial"/>
          <w:sz w:val="8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>Contact</w:t>
      </w:r>
      <w:r>
        <w:rPr>
          <w:rFonts w:ascii="Arial" w:hAnsi="Arial"/>
          <w:i w:val="1"/>
          <w:sz w:val="18"/>
        </w:rPr>
        <w:t>:</w:t>
      </w:r>
      <w:r>
        <w:rPr>
          <w:rFonts w:ascii="Arial" w:hAnsi="Arial"/>
          <w:color w:val="000000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"mailto:dusanka.dostanic@stat.gov.rs"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dusanka.dostanic@stat.gov.rs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color w:val="000000"/>
          <w:sz w:val="18"/>
        </w:rPr>
        <w:t>;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color w:val="0000FF"/>
          <w:sz w:val="18"/>
        </w:rPr>
        <w:instrText xml:space="preserve"> HYPERLINK "mailto:milijana.ceranic@stat.gov.rs" </w:instrText>
      </w:r>
      <w:r>
        <w:rPr>
          <w:rFonts w:ascii="Arial" w:hAnsi="Arial"/>
          <w:color w:val="0000FF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milijana.ceranic@stat.gov.rs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color w:val="000000"/>
          <w:sz w:val="18"/>
        </w:rPr>
        <w:t>; phone 0112412922ext244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Published and printed by: Statistical Office of the Republic of Serbia, Belgrade, Milana Rakica 5, 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Phone: +381 11 2412922 ● Fax: +381 11 2411260 ● www.stat.gov.rs  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Responsible: Dragan Vukmirovic, PhD, Director</w:t>
        <w:br w:type="textWrapping"/>
        <w:t>Circulation: 20 ● Issued annually</w:t>
      </w:r>
    </w:p>
    <w:p>
      <w:pPr>
        <w:rPr>
          <w:rFonts w:ascii="Arial" w:hAnsi="Arial"/>
          <w:sz w:val="18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907" w:right="907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0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SERB167 ZS60 280613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0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SERB167 ZS60 280613</w:t>
    </w: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6DA7A83A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388CA6F5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0BC1D3D7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10AD728D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0E92B29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40432445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66F26488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1EC4EC84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09CA6CDE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12EE4BA3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4CA84514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0995421C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22110E1B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1A7741FD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64F0477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7FA0F3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BF6D41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5B260AD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7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8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03F01A3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1">
    <w:nsid w:val="3D59343A"/>
    <w:multiLevelType w:val="hybridMultilevel"/>
    <w:lvl w:ilvl="0" w:tplc="57556DA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5FF78A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775266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2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5">
    <w:nsid w:val="459470E3"/>
    <w:multiLevelType w:val="hybridMultilevel"/>
    <w:lvl w:ilvl="0" w:tplc="3327AEE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B6A8CB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910331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4B3A34D7"/>
    <w:multiLevelType w:val="hybridMultilevel"/>
    <w:lvl w:ilvl="0" w:tplc="4658D65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6965B6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84E85E5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8">
    <w:nsid w:val="5B366EF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9">
    <w:nsid w:val="5B4A5D26"/>
    <w:multiLevelType w:val="hybridMultilevel"/>
    <w:lvl w:ilvl="0" w:tplc="28FE461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D47F265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241AC7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0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1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2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18EA82F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29"/>
  </w:num>
  <w:num w:numId="14">
    <w:abstractNumId w:val="26"/>
  </w:num>
  <w:num w:numId="15">
    <w:abstractNumId w:val="12"/>
  </w:num>
  <w:num w:numId="16">
    <w:abstractNumId w:val="13"/>
  </w:num>
  <w:num w:numId="17">
    <w:abstractNumId w:val="32"/>
  </w:num>
  <w:num w:numId="18">
    <w:abstractNumId w:val="23"/>
  </w:num>
  <w:num w:numId="19">
    <w:abstractNumId w:val="20"/>
  </w:num>
  <w:num w:numId="20">
    <w:abstractNumId w:val="31"/>
  </w:num>
  <w:num w:numId="21">
    <w:abstractNumId w:val="25"/>
  </w:num>
  <w:num w:numId="22">
    <w:abstractNumId w:val="22"/>
  </w:num>
  <w:num w:numId="23">
    <w:abstractNumId w:val="16"/>
  </w:num>
  <w:num w:numId="24">
    <w:abstractNumId w:val="15"/>
  </w:num>
  <w:num w:numId="25">
    <w:abstractNumId w:val="18"/>
  </w:num>
  <w:num w:numId="26">
    <w:abstractNumId w:val="30"/>
  </w:num>
  <w:num w:numId="27">
    <w:abstractNumId w:val="11"/>
  </w:num>
  <w:num w:numId="28">
    <w:abstractNumId w:val="27"/>
  </w:num>
  <w:num w:numId="29">
    <w:abstractNumId w:val="21"/>
  </w:num>
  <w:num w:numId="30">
    <w:abstractNumId w:val="19"/>
  </w:num>
  <w:num w:numId="31">
    <w:abstractNumId w:val="10"/>
  </w:num>
  <w:num w:numId="32">
    <w:abstractNumId w:val="28"/>
  </w:num>
  <w:num w:numId="33">
    <w:abstractNumId w:val="1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Default"/>
    <w:next w:val="P2"/>
    <w:pPr/>
    <w:rPr>
      <w:color w:val="000000"/>
      <w:sz w:val="24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6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7">
    <w:name w:val="Car Car"/>
    <w:basedOn w:val="P0"/>
    <w:next w:val="P7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8">
    <w:name w:val="Footnote Text"/>
    <w:basedOn w:val="P0"/>
    <w:next w:val="P8"/>
    <w:pPr/>
    <w:rPr>
      <w:sz w:val="20"/>
    </w:rPr>
  </w:style>
  <w:style w:type="paragraph" w:styleId="P9">
    <w:name w:val="Body Text Indent 2"/>
    <w:basedOn w:val="P0"/>
    <w:next w:val="P9"/>
    <w:pPr>
      <w:spacing w:lineRule="auto" w:line="480" w:after="120"/>
      <w:ind w:left="360"/>
    </w:pPr>
    <w:rPr/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goli-01"/>
    <w:basedOn w:val="P0"/>
    <w:next w:val="P12"/>
    <w:pPr>
      <w:widowControl w:val="0"/>
      <w:spacing w:before="360" w:after="360"/>
      <w:jc w:val="center"/>
    </w:pPr>
    <w:rPr>
      <w:b w:val="1"/>
      <w:sz w:val="28"/>
    </w:rPr>
  </w:style>
  <w:style w:type="paragraph" w:styleId="P13">
    <w:name w:val=" Char Char Char Char Char1 Char"/>
    <w:basedOn w:val="P0"/>
    <w:next w:val="P13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14">
    <w:name w:val="Title"/>
    <w:basedOn w:val="P0"/>
    <w:next w:val="P14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5">
    <w:name w:val="Caption"/>
    <w:basedOn w:val="P0"/>
    <w:next w:val="P0"/>
    <w:pPr/>
    <w:rPr>
      <w:rFonts w:ascii="Arial" w:hAnsi="Arial"/>
      <w:b w:val="1"/>
      <w:sz w:val="20"/>
    </w:rPr>
  </w:style>
  <w:style w:type="paragraph" w:styleId="P16">
    <w:name w:val="Podnaslov sopstenja"/>
    <w:basedOn w:val="P0"/>
    <w:next w:val="P16"/>
    <w:pPr>
      <w:spacing w:after="120"/>
      <w:jc w:val="center"/>
    </w:pPr>
    <w:rPr>
      <w:rFonts w:ascii="Arial" w:hAnsi="Arial"/>
      <w:b w:val="1"/>
      <w:sz w:val="22"/>
    </w:rPr>
  </w:style>
  <w:style w:type="paragraph" w:styleId="P17">
    <w:name w:val="Naslov Metodologija i Napomena"/>
    <w:basedOn w:val="P0"/>
    <w:next w:val="P17"/>
    <w:pPr>
      <w:spacing w:before="120" w:after="240"/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List Number"/>
    <w:basedOn w:val="P0"/>
    <w:next w:val="P19"/>
    <w:pPr>
      <w:numPr>
        <w:numId w:val="13"/>
      </w:numPr>
    </w:pPr>
    <w:rPr>
      <w:rFonts w:ascii="Arial" w:hAnsi="Arial"/>
      <w:sz w:val="20"/>
    </w:rPr>
  </w:style>
  <w:style w:type="paragraph" w:styleId="P20">
    <w:name w:val="Normal Indent"/>
    <w:basedOn w:val="P0"/>
    <w:next w:val="P20"/>
    <w:pPr>
      <w:ind w:left="720"/>
    </w:pPr>
    <w:rPr>
      <w:rFonts w:ascii="Arial" w:hAnsi="Arial"/>
      <w:sz w:val="20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abela-Zaglavlje"/>
    <w:basedOn w:val="P0"/>
    <w:next w:val="P22"/>
    <w:pPr>
      <w:jc w:val="center"/>
    </w:pPr>
    <w:rPr>
      <w:rFonts w:ascii="Arial" w:hAnsi="Arial"/>
      <w:sz w:val="16"/>
    </w:rPr>
  </w:style>
  <w:style w:type="paragraph" w:styleId="P23">
    <w:name w:val="Tabela-Pretkolona"/>
    <w:basedOn w:val="P0"/>
    <w:next w:val="P23"/>
    <w:pPr/>
    <w:rPr>
      <w:rFonts w:ascii="Arial" w:hAnsi="Arial"/>
      <w:sz w:val="16"/>
    </w:rPr>
  </w:style>
  <w:style w:type="paragraph" w:styleId="P24">
    <w:name w:val="Tabela-PretkolonaI"/>
    <w:basedOn w:val="P0"/>
    <w:next w:val="P24"/>
    <w:pPr/>
    <w:rPr>
      <w:rFonts w:ascii="Arial" w:hAnsi="Arial"/>
      <w:i w:val="1"/>
      <w:sz w:val="16"/>
    </w:rPr>
  </w:style>
  <w:style w:type="paragraph" w:styleId="P25">
    <w:name w:val="Tabela-PretkolonaB"/>
    <w:basedOn w:val="P0"/>
    <w:next w:val="P25"/>
    <w:pPr/>
    <w:rPr>
      <w:rFonts w:ascii="Arial" w:hAnsi="Arial"/>
      <w:b w:val="1"/>
      <w:sz w:val="16"/>
    </w:rPr>
  </w:style>
  <w:style w:type="paragraph" w:styleId="P26">
    <w:name w:val="Tabela-Brojevi"/>
    <w:basedOn w:val="P0"/>
    <w:next w:val="P26"/>
    <w:pPr>
      <w:jc w:val="right"/>
    </w:pPr>
    <w:rPr>
      <w:rFonts w:ascii="Arial" w:hAnsi="Arial"/>
      <w:sz w:val="16"/>
    </w:rPr>
  </w:style>
  <w:style w:type="paragraph" w:styleId="P27">
    <w:name w:val="Tabela-BrojeviI"/>
    <w:basedOn w:val="P0"/>
    <w:next w:val="P27"/>
    <w:pPr>
      <w:jc w:val="right"/>
    </w:pPr>
    <w:rPr>
      <w:rFonts w:ascii="Arial" w:hAnsi="Arial"/>
      <w:i w:val="1"/>
      <w:sz w:val="16"/>
    </w:rPr>
  </w:style>
  <w:style w:type="paragraph" w:styleId="P28">
    <w:name w:val="Tabela-BrojeviB"/>
    <w:basedOn w:val="P0"/>
    <w:next w:val="P28"/>
    <w:pPr>
      <w:jc w:val="right"/>
    </w:pPr>
    <w:rPr>
      <w:rFonts w:ascii="Arial" w:hAnsi="Arial"/>
      <w:b w:val="1"/>
      <w:sz w:val="16"/>
    </w:rPr>
  </w:style>
  <w:style w:type="paragraph" w:styleId="P29">
    <w:name w:val="Fusnota-Broj1"/>
    <w:basedOn w:val="P0"/>
    <w:next w:val="P29"/>
    <w:pPr>
      <w:tabs>
        <w:tab w:val="left" w:pos="360" w:leader="none"/>
      </w:tabs>
      <w:ind w:hanging="360" w:left="360"/>
    </w:pPr>
    <w:rPr>
      <w:rFonts w:ascii="Arial" w:hAnsi="Arial"/>
      <w:sz w:val="14"/>
      <w:vertAlign w:val="superscript"/>
    </w:rPr>
  </w:style>
  <w:style w:type="paragraph" w:styleId="P30">
    <w:name w:val="Fusnota-Tekst1"/>
    <w:basedOn w:val="P0"/>
    <w:next w:val="P30"/>
    <w:pPr/>
    <w:rPr>
      <w:rFonts w:ascii="Arial" w:hAnsi="Arial"/>
      <w:sz w:val="14"/>
    </w:rPr>
  </w:style>
  <w:style w:type="paragraph" w:styleId="P31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rFonts w:ascii="Arial" w:hAnsi="Arial"/>
      <w:b w:val="1"/>
      <w:sz w:val="20"/>
    </w:rPr>
  </w:style>
  <w:style w:type="paragraph" w:styleId="P32">
    <w:name w:val="Naslov saopstenja"/>
    <w:basedOn w:val="P14"/>
    <w:next w:val="P15"/>
    <w:pPr>
      <w:spacing w:after="0"/>
    </w:pPr>
    <w:rPr>
      <w:sz w:val="24"/>
    </w:rPr>
  </w:style>
  <w:style w:type="paragraph" w:styleId="P33">
    <w:name w:val="Body Text First Indent"/>
    <w:basedOn w:val="P18"/>
    <w:next w:val="P33"/>
    <w:pPr>
      <w:numPr>
        <w:numId w:val="2"/>
      </w:numPr>
      <w:tabs>
        <w:tab w:val="clear" w:pos="360" w:leader="none"/>
      </w:tabs>
      <w:ind w:firstLine="210" w:left="0"/>
    </w:pPr>
    <w:rPr>
      <w:rFonts w:ascii="Arial" w:hAnsi="Arial"/>
      <w:sz w:val="20"/>
    </w:rPr>
  </w:style>
  <w:style w:type="paragraph" w:styleId="P34">
    <w:name w:val="Tekst Metodologija i Napomena"/>
    <w:basedOn w:val="P33"/>
    <w:next w:val="P18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7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long_text1"/>
    <w:basedOn w:val="C0"/>
    <w:rPr>
      <w:sz w:val="20"/>
    </w:rPr>
  </w:style>
  <w:style w:type="character" w:styleId="C6">
    <w:name w:val="medium_text1"/>
    <w:basedOn w:val="C0"/>
    <w:rPr>
      <w:sz w:val="24"/>
    </w:rPr>
  </w:style>
  <w:style w:type="character" w:styleId="C7">
    <w:name w:val="hps"/>
    <w:basedOn w:val="C0"/>
    <w:rPr/>
  </w:style>
  <w:style w:type="character" w:styleId="C8">
    <w:name w:val="gt-icon-text1"/>
    <w:basedOn w:val="C0"/>
    <w:rPr/>
  </w:style>
  <w:style w:type="character" w:styleId="C9">
    <w:name w:val="short_text"/>
    <w:basedOn w:val="C0"/>
    <w:rPr/>
  </w:style>
  <w:style w:type="character" w:styleId="C10">
    <w:name w:val="shorttext"/>
    <w:basedOn w:val="C0"/>
    <w:rPr/>
  </w:style>
  <w:style w:type="character" w:styleId="C11">
    <w:name w:val="hps alt-edited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2012-06-22T13:37:00Z</dcterms:created>
  <cp:lastModifiedBy>Nikola Kapetanovic</cp:lastModifiedBy>
  <cp:lastPrinted>2013-06-27T09:21:00Z</cp:lastPrinted>
  <dcterms:modified xsi:type="dcterms:W3CDTF">2020-01-10T11:17:17Z</dcterms:modified>
  <cp:revision>36</cp:revision>
  <dc:title>Република Србија</dc:title>
</cp:coreProperties>
</file>