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B4EF6A" Type="http://schemas.openxmlformats.org/officeDocument/2006/relationships/officeDocument" Target="/word/document.xml" /><Relationship Id="coreR3DB4EF6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ПО13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165 - год. LXIII, 20.06.2013.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Пољопривреда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СРБ165 ПО13 200613</w:t>
            </w:r>
          </w:p>
        </w:tc>
      </w:tr>
    </w:tbl>
    <w:p/>
    <w:p>
      <w:pPr>
        <w:pStyle w:val="P2"/>
        <w:spacing w:before="480" w:after="0"/>
        <w:jc w:val="center"/>
        <w:rPr>
          <w:sz w:val="24"/>
        </w:rPr>
      </w:pPr>
      <w:r>
        <w:rPr>
          <w:sz w:val="24"/>
        </w:rPr>
        <w:t xml:space="preserve">Очекивана производња пшенице, малина и вишања и засејане површине                   кукуруза, шећерне репе, сунцокрета и соје</w:t>
      </w:r>
    </w:p>
    <w:p>
      <w:pPr>
        <w:pStyle w:val="P2"/>
        <w:spacing w:before="0" w:after="0"/>
        <w:jc w:val="center"/>
        <w:rPr>
          <w:sz w:val="24"/>
        </w:rPr>
      </w:pPr>
      <w:r>
        <w:rPr>
          <w:sz w:val="24"/>
        </w:rPr>
        <w:t>у Републици Србији, 2013.</w:t>
      </w:r>
    </w:p>
    <w:p>
      <w:pPr>
        <w:spacing w:before="240" w:after="240"/>
        <w:jc w:val="center"/>
        <w:rPr>
          <w:rFonts w:ascii="Arial-BoldMT" w:hAnsi="Arial-BoldMT"/>
          <w:b w:val="1"/>
          <w:sz w:val="22"/>
        </w:rPr>
      </w:pPr>
      <w:r>
        <w:rPr>
          <w:b w:val="1"/>
          <w:sz w:val="22"/>
        </w:rPr>
        <w:t xml:space="preserve">– </w:t>
      </w:r>
      <w:r>
        <w:rPr>
          <w:b w:val="1"/>
          <w:sz w:val="22"/>
        </w:rPr>
        <w:t>Претходни резултати</w:t>
      </w:r>
      <w:r>
        <w:rPr>
          <w:rFonts w:ascii="Arial-BoldMT" w:hAnsi="Arial-BoldMT"/>
          <w:b w:val="1"/>
          <w:sz w:val="22"/>
        </w:rPr>
        <w:t xml:space="preserve"> </w:t>
      </w:r>
      <w:r>
        <w:rPr>
          <w:b w:val="1"/>
          <w:sz w:val="22"/>
        </w:rPr>
        <w:t>–</w:t>
      </w:r>
    </w:p>
    <w:p>
      <w:pPr>
        <w:spacing w:before="120"/>
        <w:ind w:firstLine="397"/>
        <w:jc w:val="both"/>
      </w:pPr>
      <w:r>
        <w:t>Подаци о очекиваној производњи пшенице, малина и вишања и засејане површине кукуруза, сунцокрета и соје приказани су према стању на дан 25. маја 2013. године.</w:t>
      </w:r>
    </w:p>
    <w:p>
      <w:pPr>
        <w:spacing w:before="120"/>
        <w:ind w:firstLine="397"/>
        <w:jc w:val="both"/>
      </w:pPr>
      <w:r>
        <w:t>Према стању усева на дан процене, очекује се производња пшенице од 2328 хиљада тона у Републици Србији, што је за 21,8% више у односу на производњу остварену у прошлој години, а то је последица повећања засејаних површина и приноса</w:t>
      </w:r>
      <w:r>
        <w:rPr>
          <w:color w:val="C00000"/>
        </w:rPr>
        <w:t>.</w:t>
      </w:r>
      <w:r>
        <w:t xml:space="preserve"> У односу на десетогодишњи просек (2003–2012), производња пшенице је виша за 18,5%. </w:t>
      </w:r>
    </w:p>
    <w:p>
      <w:pPr>
        <w:spacing w:before="120"/>
        <w:ind w:firstLine="397"/>
        <w:jc w:val="both"/>
      </w:pPr>
      <w:r>
        <w:t xml:space="preserve">Код производње малина очекује се смањење за 15,8%, а код вишања очекује се повећање у односу на прошлу годину за 12,9%. </w:t>
      </w:r>
    </w:p>
    <w:p>
      <w:pPr>
        <w:spacing w:before="120"/>
        <w:ind w:firstLine="397"/>
        <w:jc w:val="both"/>
      </w:pPr>
      <w:r>
        <w:t>У односу на прошлу годину, према претходним подацима о пролећној сетви у 2013. години, зесејано је мање кукуруза, за 7,3%, шећерне репе, за 4,0%, и соје, за 1,6%, а више сунцокрета, за 11,8%.</w:t>
      </w:r>
    </w:p>
    <w:p>
      <w:pPr>
        <w:spacing w:before="120"/>
        <w:ind w:firstLine="397"/>
        <w:jc w:val="both"/>
      </w:pPr>
      <w:r>
        <w:t>У односу на десетогодишњи просек, засејано је више сунцокрета, за 4,4%, соје, за 9,2%, а мање кукуруза, за 2,7%, и шећерне репе, за 2,2%.</w:t>
      </w:r>
    </w:p>
    <w:p>
      <w:pPr>
        <w:spacing w:before="120"/>
        <w:ind w:firstLine="397"/>
        <w:jc w:val="both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120"/>
        <w:ind w:firstLine="397"/>
        <w:jc w:val="both"/>
      </w:pPr>
      <w:r>
        <w:t>Територијална подела извршена је у складу са Уредбом о номенклатури статистичких територијалних јединица („Службени гласник РС“, бр. 109/09 и 46/10).</w:t>
      </w:r>
    </w:p>
    <w:p>
      <w:pPr>
        <w:spacing w:before="120"/>
        <w:ind w:firstLine="397"/>
        <w:jc w:val="both"/>
      </w:pPr>
      <w:r>
        <w:t>Коначни подаци о пролећној сетви у 2013. години по општинама, областима, регионима, секторима власништва и за Републику Србију биће расположиви крајем јула.</w:t>
      </w:r>
    </w:p>
    <w:p>
      <w:pPr>
        <w:ind w:firstLine="24"/>
        <w:jc w:val="both"/>
      </w:pPr>
    </w:p>
    <w:p>
      <w:pPr>
        <w:ind w:firstLine="714"/>
        <w:jc w:val="both"/>
      </w:pPr>
    </w:p>
    <w:p>
      <w:pPr>
        <w:spacing w:after="60"/>
        <w:jc w:val="center"/>
        <w:rPr>
          <w:b w:val="1"/>
        </w:rPr>
      </w:pPr>
      <w:r>
        <w:rPr>
          <w:b w:val="1"/>
        </w:rPr>
        <w:t>1. Очекивана производња пшенице</w:t>
      </w:r>
      <w:r>
        <w:rPr>
          <w:b w:val="1"/>
        </w:rPr>
        <w:t>, малина и вишања</w:t>
      </w:r>
    </w:p>
    <w:tbl>
      <w:tblPr>
        <w:tblStyle w:val="T2"/>
        <w:tblW w:w="1020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944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</w:trPr>
        <w:tc>
          <w:tcPr>
            <w:tcW w:w="1944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</w:trPr>
        <w:tc>
          <w:tcPr>
            <w:tcW w:w="10206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i w:val="0"/>
                <w:sz w:val="16"/>
              </w:rPr>
            </w:pPr>
            <w:r>
              <w:rPr>
                <w:b w:val="1"/>
                <w:i w:val="1"/>
                <w:sz w:val="16"/>
              </w:rPr>
              <w:t>Пшеница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6"/>
              </w:rPr>
            </w:pPr>
            <w:r>
              <w:rPr>
                <w:sz w:val="16"/>
              </w:rPr>
              <w:t>Жетвена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557396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320923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26958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293965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236473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98824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137649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4177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4641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4032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4697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3548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3712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3430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2328276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1489367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108701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1380666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838908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366824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472084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121,8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128,1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108.8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129,9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112.1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114.3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110.5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0206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b w:val="1"/>
                <w:i w:val="0"/>
                <w:sz w:val="16"/>
              </w:rPr>
            </w:pPr>
            <w:r>
              <w:rPr>
                <w:b w:val="1"/>
                <w:i w:val="1"/>
                <w:sz w:val="16"/>
              </w:rPr>
              <w:t>Малине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6"/>
              </w:rPr>
            </w:pPr>
            <w:r>
              <w:rPr>
                <w:sz w:val="16"/>
              </w:rPr>
              <w:t>Жетвена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15683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15135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13870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1265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Принос по ha,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3777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2216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3262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1916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3834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3971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2329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59239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1214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816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58025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55079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84,2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91,6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96.1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89,5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84.1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84.1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84.5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0206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b w:val="1"/>
                <w:i w:val="0"/>
                <w:sz w:val="16"/>
              </w:rPr>
            </w:pPr>
            <w:r>
              <w:rPr>
                <w:b w:val="1"/>
                <w:i w:val="1"/>
                <w:sz w:val="16"/>
              </w:rPr>
              <w:t>Вишње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6"/>
              </w:rPr>
            </w:pPr>
            <w:r>
              <w:rPr>
                <w:sz w:val="16"/>
              </w:rPr>
              <w:t>Број родних стабала,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7969555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2161807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438590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1723217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5807748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1377324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4430424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Принос по стаблу, kg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10,6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10,0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11,6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10,4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Производња, t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84323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22317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5095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17222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62006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16013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45993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112,9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111,4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82,4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124,4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113,5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121,8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110,9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spacing w:after="60"/>
        <w:jc w:val="center"/>
        <w:rPr>
          <w:b w:val="1"/>
        </w:rPr>
      </w:pPr>
      <w:r>
        <w:rPr>
          <w:b w:val="1"/>
        </w:rPr>
        <w:t xml:space="preserve">2. </w:t>
      </w:r>
      <w:r>
        <w:rPr>
          <w:b w:val="1"/>
        </w:rPr>
        <w:t>Засејане</w:t>
      </w:r>
      <w:r>
        <w:rPr>
          <w:b w:val="1"/>
        </w:rPr>
        <w:t xml:space="preserve"> </w:t>
      </w:r>
      <w:r>
        <w:rPr>
          <w:b w:val="1"/>
        </w:rPr>
        <w:t>површине</w:t>
      </w:r>
      <w:r>
        <w:rPr>
          <w:b w:val="1"/>
        </w:rPr>
        <w:t xml:space="preserve"> </w:t>
      </w:r>
      <w:r>
        <w:rPr>
          <w:b w:val="1"/>
        </w:rPr>
        <w:t>кукуруза</w:t>
      </w:r>
      <w:r>
        <w:rPr>
          <w:b w:val="1"/>
        </w:rPr>
        <w:t xml:space="preserve">, </w:t>
      </w:r>
      <w:r>
        <w:rPr>
          <w:b w:val="1"/>
        </w:rPr>
        <w:t>шећерне</w:t>
      </w:r>
      <w:r>
        <w:rPr>
          <w:b w:val="1"/>
        </w:rPr>
        <w:t xml:space="preserve"> </w:t>
      </w:r>
      <w:r>
        <w:rPr>
          <w:b w:val="1"/>
        </w:rPr>
        <w:t>репе</w:t>
      </w:r>
      <w:r>
        <w:rPr>
          <w:b w:val="1"/>
        </w:rPr>
        <w:t xml:space="preserve">, </w:t>
      </w:r>
      <w:r>
        <w:rPr>
          <w:b w:val="1"/>
        </w:rPr>
        <w:t>сунцокрета</w:t>
      </w:r>
      <w:r>
        <w:rPr>
          <w:b w:val="1"/>
        </w:rPr>
        <w:t xml:space="preserve"> </w:t>
      </w:r>
      <w:r>
        <w:rPr>
          <w:b w:val="1"/>
        </w:rPr>
        <w:t>и</w:t>
      </w:r>
      <w:r>
        <w:rPr>
          <w:b w:val="1"/>
        </w:rPr>
        <w:t xml:space="preserve"> </w:t>
      </w:r>
      <w:r>
        <w:rPr>
          <w:b w:val="1"/>
        </w:rPr>
        <w:t>соје</w:t>
      </w:r>
    </w:p>
    <w:tbl>
      <w:tblPr>
        <w:tblStyle w:val="T2"/>
        <w:tblW w:w="10206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44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север</w:t>
            </w:r>
          </w:p>
        </w:tc>
        <w:tc>
          <w:tcPr>
            <w:tcW w:w="4132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Србија – југ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3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Београдски регион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Војводине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Шумадије и Западне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Јужне и Источне Србије</w:t>
            </w:r>
          </w:p>
        </w:tc>
        <w:tc>
          <w:tcPr>
            <w:tcW w:w="10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Регион Косово и Метохија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0206" w:type="dxa"/>
            <w:gridSpan w:val="9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i w:val="0"/>
                <w:sz w:val="16"/>
              </w:rPr>
            </w:pPr>
            <w:r>
              <w:rPr>
                <w:b w:val="1"/>
                <w:i w:val="1"/>
                <w:sz w:val="16"/>
              </w:rPr>
              <w:t>Кукуруз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Засејана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1193695,5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740263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53616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686647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453432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248668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204764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92,7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90,7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94.7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90,4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96.2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96.5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95.9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10206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b w:val="1"/>
                <w:i w:val="0"/>
                <w:sz w:val="16"/>
              </w:rPr>
            </w:pPr>
            <w:r>
              <w:rPr>
                <w:b w:val="1"/>
                <w:i w:val="1"/>
                <w:sz w:val="16"/>
              </w:rPr>
              <w:t>Шећерна репа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Засејана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62377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62004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2167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59837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96,0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95,9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59.7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98,1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114.1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119.4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106.6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10206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b w:val="1"/>
                <w:i w:val="0"/>
                <w:sz w:val="16"/>
              </w:rPr>
            </w:pPr>
            <w:r>
              <w:rPr>
                <w:b w:val="1"/>
                <w:i w:val="1"/>
                <w:sz w:val="16"/>
              </w:rPr>
              <w:t>Сунцокрет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Засејана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186556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171753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1955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169798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14803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2185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12618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111,8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112,8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126.5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112,7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101.0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100.9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101.0</w:t>
            </w:r>
          </w:p>
        </w:tc>
        <w:tc>
          <w:tcPr>
            <w:tcW w:w="1033" w:type="dxa"/>
            <w:vAlign w:val="center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10206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b w:val="1"/>
                <w:i w:val="0"/>
                <w:sz w:val="16"/>
              </w:rPr>
            </w:pPr>
            <w:r>
              <w:rPr>
                <w:b w:val="1"/>
                <w:i w:val="1"/>
                <w:sz w:val="16"/>
              </w:rPr>
              <w:t>Соја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Засејана површина, ha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160865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152050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4588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147462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8815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8052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20"/>
        </w:trPr>
        <w:tc>
          <w:tcPr>
            <w:tcW w:w="19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Индекс, 2012 = 100</w:t>
            </w:r>
          </w:p>
        </w:tc>
        <w:tc>
          <w:tcPr>
            <w:tcW w:w="1032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98,4</w:t>
            </w:r>
          </w:p>
        </w:tc>
        <w:tc>
          <w:tcPr>
            <w:tcW w:w="1032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98,3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117,7</w:t>
            </w:r>
          </w:p>
        </w:tc>
        <w:tc>
          <w:tcPr>
            <w:tcW w:w="1033" w:type="dxa"/>
            <w:vAlign w:val="bottom"/>
          </w:tcPr>
          <w:p>
            <w:pPr>
              <w:jc w:val="right"/>
              <w:rPr>
                <w:sz w:val="16"/>
              </w:rPr>
            </w:pPr>
            <w:r>
              <w:rPr>
                <w:sz w:val="16"/>
              </w:rPr>
              <w:t>97,8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99,7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99,4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103,4</w:t>
            </w:r>
          </w:p>
        </w:tc>
        <w:tc>
          <w:tcPr>
            <w:tcW w:w="1033" w:type="dxa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...</w:t>
            </w:r>
          </w:p>
        </w:tc>
      </w:tr>
    </w:tbl>
    <w:p>
      <w:pPr>
        <w:jc w:val="both"/>
      </w:pPr>
    </w:p>
    <w:p>
      <w:pPr>
        <w:spacing w:before="240" w:after="120"/>
        <w:ind w:firstLine="28"/>
        <w:jc w:val="center"/>
        <w:rPr>
          <w:b w:val="1"/>
        </w:rPr>
      </w:pPr>
    </w:p>
    <w:p>
      <w:pPr>
        <w:spacing w:before="240" w:after="120"/>
        <w:ind w:firstLine="28"/>
        <w:jc w:val="center"/>
        <w:rPr>
          <w:b w:val="1"/>
        </w:rPr>
      </w:pPr>
      <w:r>
        <w:rPr>
          <w:b w:val="1"/>
        </w:rPr>
        <w:t>Методолошка објашњења</w:t>
      </w:r>
    </w:p>
    <w:p>
      <w:pPr>
        <w:spacing w:before="240"/>
        <w:ind w:firstLine="397"/>
        <w:jc w:val="both"/>
        <w:rPr>
          <w:b w:val="1"/>
          <w:sz w:val="22"/>
        </w:rPr>
      </w:pPr>
      <w:r>
        <w:t>Подаци у овом саопштењу добијени су на основу Извештаја о површинама и засадима на крају пролећне сетве (ПО-22), који представља основно истраживање у систему статистике биљне производње. Привредна друштва и земљорадничке задруге попуњавају извештај на основу књиговодствених евиденција, док за породична газдинства процене врше статистички проценитељи по процембеним подручјима (једна катастарска општина или више њих).</w:t>
      </w:r>
    </w:p>
    <w:p>
      <w:pPr>
        <w:spacing w:before="120"/>
        <w:ind w:firstLine="397"/>
        <w:jc w:val="both"/>
      </w:pPr>
      <w:r>
        <w:t>Засејаним површинама сматрају се површине које су обрађене и засејане неким усевом, док су жетвене површине оне површине са којих се очекује производња.</w:t>
      </w:r>
    </w:p>
    <w:p>
      <w:pPr>
        <w:spacing w:before="120"/>
        <w:ind w:firstLine="397"/>
        <w:jc w:val="both"/>
      </w:pPr>
      <w:r>
        <w:t>Принос по хектару процењује се на основу изгледа биљака, узраста, густоће итд., водећи рачуна о агротехничким мерама и временским приликама.</w:t>
      </w:r>
    </w:p>
    <w:p>
      <w:pPr>
        <w:spacing w:before="120"/>
        <w:ind w:firstLine="397"/>
        <w:jc w:val="both"/>
      </w:pPr>
      <w:r>
        <w:t>Приликом процене претпоставља се да ће у наредном периоду до жетве/бербе услови за производњу бити нормални.</w:t>
      </w:r>
    </w:p>
    <w:p>
      <w:pPr>
        <w:spacing w:before="120"/>
        <w:ind w:firstLine="397"/>
        <w:jc w:val="both"/>
        <w:rPr>
          <w:b w:val="1"/>
          <w:sz w:val="22"/>
        </w:rPr>
      </w:pPr>
      <w:r>
        <w:t>Заинтересовани корисници могу се детаљније упознати са скраћеном Методологијом статистике биљне производње на веб-сајту Републичког завода за статистику: www.stat.gov.rs.</w:t>
      </w:r>
    </w:p>
    <w:p/>
    <w:tbl>
      <w:tblPr>
        <w:tblStyle w:val="T2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c>
          <w:tcPr>
            <w:tcW w:w="9379" w:type="dxa"/>
          </w:tcPr>
          <w:p>
            <w:pPr>
              <w:framePr w:w="0" w:h="0" w:hRule="auto" w:vSpace="0" w:hSpace="0" w:wrap="auto" w:vAnchor="margin" w:hAnchor="text" w:x="0" w:xAlign="left" w:y="0" w:yAlign="inline"/>
              <w:ind w:firstLine="40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Контакт: </w:t>
            </w:r>
            <w:r>
              <w:rPr>
                <w:color w:val="000000"/>
                <w:sz w:val="18"/>
              </w:rPr>
              <w:fldChar w:fldCharType="begin"/>
            </w:r>
            <w:r>
              <w:rPr>
                <w:color w:val="000000"/>
                <w:sz w:val="18"/>
              </w:rPr>
              <w:instrText xml:space="preserve"> HYPERLINK "mailto:slobodan.grujic@stat.gov.rs" </w:instrText>
            </w:r>
            <w:r>
              <w:rPr>
                <w:color w:val="000000"/>
                <w:sz w:val="18"/>
              </w:rPr>
              <w:fldChar w:fldCharType="separate"/>
            </w:r>
            <w:r>
              <w:rPr>
                <w:rStyle w:val="C2"/>
                <w:sz w:val="18"/>
                <w:u w:val="none"/>
              </w:rPr>
              <w:t>slobodan.grujic@stat.gov.rs</w:t>
            </w:r>
            <w:r>
              <w:rPr>
                <w:rStyle w:val="C2"/>
                <w:sz w:val="18"/>
                <w:u w:val="none"/>
              </w:rPr>
              <w:fldChar w:fldCharType="end"/>
            </w:r>
            <w:r>
              <w:rPr>
                <w:sz w:val="18"/>
              </w:rPr>
              <w:t>,</w:t>
            </w:r>
            <w:r>
              <w:rPr>
                <w:color w:val="000000"/>
                <w:sz w:val="18"/>
              </w:rPr>
              <w:t xml:space="preserve"> тел.: 011/24-12-922, локал 240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rPr>
                <w:sz w:val="18"/>
              </w:rPr>
              <w:t xml:space="preserve">Издаје и штампа: Републички завод за статистику,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проф. др Драган Вукмировић, директор </w:t>
              <w:br w:type="textWrapping"/>
              <w:t>Tираж: 20 ● Периодика излажења: годишња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СРБxxx Ознака ddmmgg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СРБ165 ПО13 200613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31A0016B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54E7E460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2817670A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0052FAF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274D294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736FCE2D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12306092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00118F4C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1F8E3962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497E60C4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0B199E97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1475CD0E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440C4FA4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3E2DC0D2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17FF2EFB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62A62B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4B3159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570D1C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5DA2217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54876520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2818860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6B472B0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E5188F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2FC8E12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5754B4D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A0536E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12E22B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B4A5D26"/>
    <w:multiLevelType w:val="hybridMultilevel"/>
    <w:lvl w:ilvl="0" w:tplc="7945DD9D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88D01E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F6FBA44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8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9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0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3053718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Title"/>
    <w:basedOn w:val="P0"/>
    <w:next w:val="P8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qFormat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qFormat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tabs>
        <w:tab w:val="left" w:pos="360" w:leader="none"/>
      </w:tabs>
      <w:ind w:hanging="360" w:left="360"/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tabs>
        <w:tab w:val="left" w:pos="284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Car Car"/>
    <w:basedOn w:val="P0"/>
    <w:next w:val="P36"/>
    <w:link w:val="C0"/>
    <w:pPr>
      <w:spacing w:lineRule="exact" w:line="240" w:after="160"/>
    </w:pPr>
    <w:rPr>
      <w:rFonts w:ascii="Verdana" w:hAnsi="Verdana"/>
      <w:i w:val="1"/>
    </w:rPr>
  </w:style>
  <w:style w:type="paragraph" w:styleId="P37">
    <w:name w:val="Naslov saopstenja"/>
    <w:basedOn w:val="P8"/>
    <w:next w:val="P9"/>
    <w:pPr>
      <w:spacing w:after="0"/>
    </w:pPr>
    <w:rPr>
      <w:sz w:val="24"/>
    </w:rPr>
  </w:style>
  <w:style w:type="paragraph" w:styleId="P38">
    <w:name w:val="Body Text First Indent"/>
    <w:basedOn w:val="P13"/>
    <w:next w:val="P38"/>
    <w:pPr>
      <w:ind w:firstLine="210"/>
    </w:pPr>
    <w:rPr/>
  </w:style>
  <w:style w:type="paragraph" w:styleId="P39">
    <w:name w:val="Body Text First Indent 2"/>
    <w:basedOn w:val="P15"/>
    <w:next w:val="P39"/>
    <w:pPr>
      <w:ind w:firstLine="210"/>
    </w:pPr>
    <w:rPr/>
  </w:style>
  <w:style w:type="paragraph" w:styleId="P40">
    <w:name w:val="Tekst Metodologija i Napomena"/>
    <w:basedOn w:val="P38"/>
    <w:next w:val="P13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link w:val="P36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2013-06-15T19:21:00Z</dcterms:created>
  <cp:lastModifiedBy>Nikola Kapetanovic</cp:lastModifiedBy>
  <cp:lastPrinted>2011-06-20T09:37:00Z</cp:lastPrinted>
  <dcterms:modified xsi:type="dcterms:W3CDTF">2020-01-10T11:17:17Z</dcterms:modified>
  <cp:revision>50</cp:revision>
  <dc:title>                  </dc:title>
</cp:coreProperties>
</file>