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2074A02" Type="http://schemas.openxmlformats.org/officeDocument/2006/relationships/officeDocument" Target="/word/document.xml" /><Relationship Id="coreR32074A0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ЛП12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163 - год. LXIII, 14.06.2013.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Анкета о потрошњи домаћинстава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163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ЛП12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>
      <w:pPr>
        <w:spacing w:before="36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Расположива средства и лична </w:t>
      </w:r>
      <w:r>
        <w:rPr>
          <w:rFonts w:ascii="Arial" w:hAnsi="Arial"/>
          <w:b w:val="1"/>
        </w:rPr>
        <w:t>потрошња домаћинста</w:t>
      </w:r>
      <w:r>
        <w:rPr>
          <w:rFonts w:ascii="Arial" w:hAnsi="Arial"/>
          <w:b w:val="1"/>
        </w:rPr>
        <w:t>в</w:t>
      </w:r>
      <w:r>
        <w:rPr>
          <w:rFonts w:ascii="Arial" w:hAnsi="Arial"/>
          <w:b w:val="1"/>
        </w:rPr>
        <w:t>а</w:t>
      </w:r>
      <w:r>
        <w:rPr>
          <w:rFonts w:ascii="Arial" w:hAnsi="Arial"/>
          <w:b w:val="1"/>
        </w:rPr>
        <w:t xml:space="preserve"> </w:t>
      </w: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у Републици Србији,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први</w:t>
      </w:r>
      <w:r>
        <w:rPr>
          <w:rFonts w:ascii="Arial" w:hAnsi="Arial"/>
          <w:b w:val="1"/>
        </w:rPr>
        <w:t xml:space="preserve"> квартал 20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3</w:t>
      </w:r>
      <w:r>
        <w:rPr>
          <w:rFonts w:ascii="Arial" w:hAnsi="Arial"/>
          <w:b w:val="1"/>
        </w:rPr>
        <w:t>.</w:t>
      </w:r>
      <w:r>
        <w:rPr>
          <w:rFonts w:ascii="Arial" w:hAnsi="Arial"/>
          <w:b w:val="1"/>
        </w:rPr>
        <w:t xml:space="preserve"> </w:t>
      </w:r>
    </w:p>
    <w:p>
      <w:pPr>
        <w:jc w:val="center"/>
        <w:rPr>
          <w:rFonts w:ascii="Arial" w:hAnsi="Arial"/>
          <w:b w:val="1"/>
          <w:sz w:val="16"/>
        </w:rPr>
      </w:pPr>
    </w:p>
    <w:p>
      <w:pPr>
        <w:ind w:left="360"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−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 xml:space="preserve">Претходни резултати </w:t>
      </w:r>
      <w:r>
        <w:rPr>
          <w:rFonts w:ascii="Arial" w:hAnsi="Arial"/>
          <w:b w:val="1"/>
          <w:sz w:val="22"/>
        </w:rPr>
        <w:t>−</w:t>
      </w:r>
    </w:p>
    <w:p>
      <w:pPr>
        <w:ind w:left="360"/>
        <w:jc w:val="center"/>
        <w:rPr>
          <w:rFonts w:ascii="Arial" w:hAnsi="Arial"/>
          <w:b w:val="1"/>
          <w:sz w:val="16"/>
        </w:rPr>
      </w:pPr>
    </w:p>
    <w:p>
      <w:pPr>
        <w:spacing w:before="12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Подаци су добијени путем Aнкете о потрошњи домаћинстава, која се од 2003. године спроводи по међународним стандардима и препорукама Евростата, ILO и УН, чиме се обезбеђује међународна упоредивост података. Овом анкетом прикупљају се подаци о приходима, расходима и потрошњи домаћинстава, односно подаци о основним елементима личне потрошње. Поред тога, Анкетом се прикупљају и подаци о неким важнијим показатељима животног стандарда (услови становања, снабдевеност трајним потрошним  добрима и др.), као и основни подаци о демографским, економским и социолошким  карактеристикама домаћинстава.</w:t>
      </w:r>
    </w:p>
    <w:p>
      <w:pPr>
        <w:tabs>
          <w:tab w:val="left" w:pos="690" w:leader="none"/>
        </w:tabs>
        <w:spacing w:before="12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 Анкети се примењује двоетапни стратификовани узорак, са пописним круговима као примарним и домаћинствима као секундарним јединицама избора. Сваких петнаест дана анкетира се по 200 домаћинстава, односно 4800 домаћинстава за годину дана. </w:t>
      </w:r>
    </w:p>
    <w:p>
      <w:pPr>
        <w:tabs>
          <w:tab w:val="left" w:pos="690" w:leader="none"/>
        </w:tabs>
        <w:spacing w:before="12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Од укупног броја домаћинстава предвиђених за анкетирање у првом кварталу (1200 за Републику Србију), анкетирано је 1121 домаћинства (93%).</w:t>
      </w:r>
    </w:p>
    <w:p>
      <w:pPr>
        <w:tabs>
          <w:tab w:val="left" w:pos="690" w:leader="none"/>
        </w:tabs>
        <w:spacing w:before="120"/>
        <w:ind w:firstLine="397"/>
        <w:jc w:val="both"/>
        <w:rPr>
          <w:rFonts w:ascii="Arial" w:hAnsi="Arial"/>
          <w:sz w:val="18"/>
        </w:rPr>
      </w:pPr>
    </w:p>
    <w:tbl>
      <w:tblPr>
        <w:tblStyle w:val="T2"/>
        <w:tblW w:w="9526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7833"/>
        </w:trPr>
        <w:tc>
          <w:tcPr>
            <w:tcW w:w="2397" w:type="pct"/>
          </w:tcPr>
          <w:p>
            <w:pPr>
              <w:tabs>
                <w:tab w:val="left" w:pos="690" w:leader="none"/>
              </w:tabs>
              <w:jc w:val="center"/>
            </w:pPr>
            <w:r>
              <w:drawing>
                <wp:inline xmlns:wp="http://schemas.openxmlformats.org/drawingml/2006/wordprocessingDrawing">
                  <wp:extent cx="2891790" cy="5146675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90" cy="514667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pct"/>
          </w:tcPr>
          <w:p>
            <w:pPr>
              <w:tabs>
                <w:tab w:val="left" w:pos="690" w:leader="none"/>
              </w:tabs>
              <w:jc w:val="center"/>
            </w:pPr>
            <w:r>
              <w:drawing>
                <wp:inline xmlns:wp="http://schemas.openxmlformats.org/drawingml/2006/wordprocessingDrawing">
                  <wp:extent cx="2900045" cy="5099050"/>
                  <wp:docPr id="3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xmlns:r="http://schemas.openxmlformats.org/officeDocument/2006/relationships" r:embed="Relimag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045" cy="50990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P17"/>
      </w:pPr>
      <w:r>
        <w:t xml:space="preserve">1. Расположива средства и лична потрошња у првом кварталу 2013.  </w:t>
      </w:r>
    </w:p>
    <w:p>
      <w:pPr>
        <w:pStyle w:val="P17"/>
        <w:spacing w:before="120"/>
        <w:rPr>
          <w:sz w:val="18"/>
        </w:rPr>
      </w:pPr>
      <w:r>
        <w:rPr>
          <w:sz w:val="18"/>
        </w:rPr>
        <w:t>− Просек по домаћинству −</w:t>
      </w:r>
    </w:p>
    <w:p>
      <w:pPr>
        <w:spacing w:before="120"/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>−</w:t>
      </w:r>
      <w:r>
        <w:rPr>
          <w:rFonts w:ascii="Arial" w:hAnsi="Arial"/>
          <w:b w:val="1"/>
          <w:sz w:val="16"/>
        </w:rPr>
        <w:t xml:space="preserve"> </w:t>
      </w:r>
      <w:r>
        <w:rPr>
          <w:rFonts w:ascii="Arial" w:hAnsi="Arial"/>
          <w:b w:val="1"/>
          <w:sz w:val="16"/>
        </w:rPr>
        <w:t>С</w:t>
      </w:r>
      <w:r>
        <w:rPr>
          <w:rFonts w:ascii="Arial" w:hAnsi="Arial"/>
          <w:b w:val="1"/>
          <w:sz w:val="16"/>
        </w:rPr>
        <w:t xml:space="preserve">ва домаћинства </w:t>
      </w:r>
      <w:r>
        <w:rPr>
          <w:rFonts w:ascii="Arial" w:hAnsi="Arial"/>
          <w:b w:val="1"/>
          <w:sz w:val="16"/>
        </w:rPr>
        <w:t>−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right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РСД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i w:val="0"/>
                <w:color w:val="FF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север  </w:t>
            </w:r>
          </w:p>
        </w:tc>
        <w:tc>
          <w:tcPr>
            <w:tcW w:w="272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југ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Београд-ски регион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Војводине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Јужне и Источне Србије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9978" w:type="dxa"/>
            <w:gridSpan w:val="7"/>
            <w:tcBorders>
              <w:top w:val="single" w:sz="4" w:space="0" w:shadow="0" w:fram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</w:t>
            </w:r>
            <w:r>
              <w:rPr>
                <w:rFonts w:ascii="Arial" w:hAnsi="Arial"/>
                <w:b w:val="1"/>
                <w:sz w:val="16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анкетираних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Оцењени број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2465799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604983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690385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656759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513672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чланова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потрошачких јединица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Расположива средства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54800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67036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55088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48608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47916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новцу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52100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66109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52937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44167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44621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69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24423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34718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22035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19371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ван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Пензије (старосне, породичне, инвалидске и остале)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18082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22475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16481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16442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17157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 од социјалног осигурања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пољопривреде, лова и риболова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иностранства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имовине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Поклони и добици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Потрошачки и инвестициони кредити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натури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2700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927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2151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4441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3295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натури на име зарада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Натурална потрошња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Лична потрошња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51930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65725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50270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51254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38749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Храна и безалкохолна пића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21213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24904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20271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21096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18267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Алкохолна пића и дуван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Одећа и обућа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3828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Становање, вода, ел. енергија, гас и остала горива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8970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11010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9624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8988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5651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Опрема за стан и текуће одржавање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Здравље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2943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Транспорт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4168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4877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Комуникације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Рекреација и култура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Ресторани и хотели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Остали лични предмети и остале услуге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3810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</w:tbl>
    <w:p/>
    <w:p/>
    <w:p/>
    <w:p/>
    <w:p/>
    <w:p/>
    <w:p>
      <w:pPr>
        <w:pStyle w:val="P10"/>
        <w:spacing w:lineRule="auto" w:line="240"/>
        <w:rPr>
          <w:sz w:val="20"/>
        </w:rPr>
      </w:pPr>
      <w:r>
        <w:rPr>
          <w:sz w:val="20"/>
        </w:rPr>
        <w:t>2. Структура расположивих средстава и личне потрошње у првом кварталу 2013.</w:t>
      </w:r>
    </w:p>
    <w:p>
      <w:pPr>
        <w:spacing w:before="120"/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− </w:t>
      </w:r>
      <w:r>
        <w:rPr>
          <w:rFonts w:ascii="Arial" w:hAnsi="Arial"/>
          <w:b w:val="1"/>
          <w:sz w:val="18"/>
        </w:rPr>
        <w:t>С</w:t>
      </w:r>
      <w:r>
        <w:rPr>
          <w:rFonts w:ascii="Arial" w:hAnsi="Arial"/>
          <w:b w:val="1"/>
          <w:sz w:val="18"/>
        </w:rPr>
        <w:t>ва домаћинства</w:t>
      </w:r>
      <w:r>
        <w:rPr>
          <w:rFonts w:ascii="Arial" w:hAnsi="Arial"/>
          <w:b w:val="1"/>
          <w:sz w:val="18"/>
        </w:rPr>
        <w:t xml:space="preserve"> −</w:t>
      </w:r>
    </w:p>
    <w:p>
      <w:pPr>
        <w:jc w:val="right"/>
        <w:rPr>
          <w:rFonts w:ascii="Arial" w:hAnsi="Arial"/>
          <w:b w:val="1"/>
          <w:sz w:val="16"/>
        </w:rPr>
      </w:pPr>
    </w:p>
    <w:p>
      <w:pPr>
        <w:jc w:val="right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%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i w:val="0"/>
                <w:color w:val="FF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север  </w:t>
            </w:r>
          </w:p>
        </w:tc>
        <w:tc>
          <w:tcPr>
            <w:tcW w:w="272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југ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Београд-ски регион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Војводине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Јужне и Источне Србије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9978" w:type="dxa"/>
            <w:gridSpan w:val="7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312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</w:t>
            </w:r>
            <w:r>
              <w:rPr>
                <w:rFonts w:ascii="Arial" w:hAnsi="Arial"/>
                <w:b w:val="1"/>
                <w:sz w:val="16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Анкетирани број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Оцењени број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2465799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604983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690385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656759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513672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чланова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потрошачких јединица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Расположива средства</w:t>
            </w:r>
            <w:r>
              <w:rPr>
                <w:rFonts w:ascii="Arial" w:hAnsi="Arial"/>
                <w:b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новцу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95,1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98,6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96,1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90,9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ван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Пензије (старосне, породичне, инвалидске и остале)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 од социјалног осигурања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пољопривреде, лова и риболова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иностранства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имовине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Поклони и добици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Потрошачки и инвестициони кредити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натури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натури на име зарада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Натурална потрошња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Лична потрошња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bookmarkStart w:id="0" w:name="OLE_LINK1"/>
            <w:r>
              <w:rPr>
                <w:rFonts w:ascii="Arial" w:hAnsi="Arial"/>
                <w:sz w:val="16"/>
              </w:rPr>
              <w:t xml:space="preserve">Храна и безалкохолна пића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Алкохолна пића и дуван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Одећа и обућа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Становање, вода, ел. енергија, гас и остала горива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Опрема за стан и текуће одржавање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Здравље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Транспорт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Комуникације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Рекреација и култура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Ресторани и хотели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Остали лични предмети и остале услуге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</w:tbl>
    <w:p>
      <w:bookmarkEnd w:id="0"/>
    </w:p>
    <w:p/>
    <w:p/>
    <w:p/>
    <w:p/>
    <w:p/>
    <w:p/>
    <w:p>
      <w:pPr>
        <w:rPr>
          <w:sz w:val="2"/>
        </w:rPr>
      </w:pPr>
    </w:p>
    <w:p>
      <w:pPr>
        <w:pStyle w:val="P10"/>
        <w:spacing w:lineRule="auto" w:line="240" w:before="360"/>
      </w:pPr>
      <w:r>
        <w:t>Методолошка објашњења</w:t>
      </w:r>
    </w:p>
    <w:p>
      <w:pPr>
        <w:ind w:firstLine="720"/>
        <w:jc w:val="both"/>
        <w:rPr>
          <w:rFonts w:ascii="Arial" w:hAnsi="Arial"/>
          <w:sz w:val="20"/>
        </w:rPr>
      </w:pP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Јединица анкетирања је свако самачко или вишечлано домаћинство изабрано према плану узорка. Домаћинством се сматра: а) заједница лица чији чланови заједно станују, заједно се хране и троше остварене приходе и б) самац који самостално живи, самостално се храни и троши остварене приходе.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 Анкети се примењују метод вођења дневника (домаћинство води дневник потрошње за петнаест, односно шеснаест дана) </w:t>
      </w:r>
      <w:r>
        <w:rPr>
          <w:rFonts w:ascii="Symbol" w:hAnsi="Symbol"/>
          <w:sz w:val="20"/>
        </w:rPr>
        <w:t>-</w:t>
      </w:r>
      <w:r>
        <w:rPr>
          <w:rFonts w:ascii="Arial" w:hAnsi="Arial"/>
          <w:sz w:val="20"/>
        </w:rPr>
        <w:t xml:space="preserve"> за производе и услуге личне потрошње, и метод интервјуа (испитивања) на бази упитника, где је референтни период за трајна добра дванаест месеци, за полутрајна добра, пољопривреду, лов и риболов три месеца, а за приходе месец дана.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Расположива средства домаћинстава </w:t>
      </w:r>
      <w:r>
        <w:rPr>
          <w:rFonts w:ascii="Arial" w:hAnsi="Arial"/>
          <w:sz w:val="20"/>
        </w:rPr>
        <w:t>обухватају приходе у новцу, новчану вредност натуралне потрошње и прихода у натури, којима су домаћинства располагала у анкетном периоду.</w:t>
      </w:r>
    </w:p>
    <w:p>
      <w:pPr>
        <w:ind w:firstLine="720"/>
        <w:jc w:val="both"/>
        <w:rPr>
          <w:rFonts w:ascii="Arial" w:hAnsi="Arial"/>
          <w:sz w:val="20"/>
        </w:rPr>
      </w:pPr>
    </w:p>
    <w:p>
      <w:pPr>
        <w:tabs>
          <w:tab w:val="left" w:pos="840" w:leader="none"/>
        </w:tabs>
        <w:ind w:left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Приходи домаћинстава у новцу</w:t>
      </w:r>
    </w:p>
    <w:p>
      <w:pPr>
        <w:tabs>
          <w:tab w:val="left" w:pos="840" w:leader="none"/>
        </w:tabs>
        <w:ind w:left="360"/>
        <w:jc w:val="both"/>
        <w:rPr>
          <w:rFonts w:ascii="Arial" w:hAnsi="Arial"/>
          <w:b w:val="1"/>
          <w:sz w:val="20"/>
        </w:rPr>
      </w:pP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из редовног радног односа</w:t>
      </w:r>
      <w:r>
        <w:rPr>
          <w:rFonts w:ascii="Arial" w:hAnsi="Arial"/>
          <w:sz w:val="20"/>
        </w:rPr>
        <w:t xml:space="preserve"> обухватају приходе из редовног радног односа;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ван редовног радног односа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 новчана примања од прековременог рада, на основу уговора о делу, ауторског уговора и сл.;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Пензије (старосне, породичне, инвалидске и остале)</w:t>
      </w:r>
      <w:r>
        <w:rPr>
          <w:rFonts w:ascii="Arial" w:hAnsi="Arial"/>
          <w:sz w:val="20"/>
        </w:rPr>
        <w:t xml:space="preserve"> обухватају примања на основу пензијског и инвалидског осигурања и додатке уз пензију;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Остала примања од социјалног осигурања</w:t>
      </w:r>
      <w:r>
        <w:rPr>
          <w:rFonts w:ascii="Arial" w:hAnsi="Arial"/>
          <w:sz w:val="20"/>
        </w:rPr>
        <w:t xml:space="preserve"> обухватају: социјалну помоћ, додатке и друга примања на основу социјалне заштите; примања на име материјалног обезбеђења незапослених и привремено незапослених лица; примања на име алиментације, издржавања; примања на основу здравственог осигурања; примања и додаци на основу инвалидског осигурања; дечији додатак; стипендије ђака и студената, као и накнаде за ученике школа за квалификоване раднике;</w:t>
      </w:r>
    </w:p>
    <w:p>
      <w:pPr>
        <w:pStyle w:val="P9"/>
        <w:numPr>
          <w:ilvl w:val="0"/>
          <w:numId w:val="6"/>
        </w:numPr>
        <w:spacing w:lineRule="auto" w:line="240"/>
        <w:rPr>
          <w:b w:val="1"/>
          <w:i w:val="0"/>
        </w:rPr>
      </w:pPr>
      <w:r>
        <w:t xml:space="preserve">Приходи од пољопривреде, лова и риболова </w:t>
      </w:r>
      <w:r>
        <w:rPr>
          <w:b w:val="0"/>
          <w:i w:val="0"/>
        </w:rPr>
        <w:t>обухватају</w:t>
      </w:r>
      <w:r>
        <w:rPr>
          <w:b w:val="0"/>
          <w:i w:val="0"/>
        </w:rPr>
        <w:t xml:space="preserve"> приходе домаћинстава која се баве пољопривредом, ловом и риболовом;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Примања из иностранства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обухватају: поклоне у новцу и примања из иностранства;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од имовине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 xml:space="preserve">обухватају: приходе од издавања собе, стана, камате, дивиденде и приходе од продаје  покретне и непокретне имовине;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Поклони и добици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 поклоне у новцу, добитке од игара на срећу и сл.;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Потрошачки и инвестициони кредити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 xml:space="preserve">обухватају кредите подигнуте у претходних 12 месеци;   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Остала примања</w:t>
      </w:r>
      <w:r>
        <w:rPr>
          <w:rFonts w:ascii="Arial" w:hAnsi="Arial"/>
          <w:sz w:val="20"/>
        </w:rPr>
        <w:t xml:space="preserve"> обухватају: подизање штедних улога, враћене позајмице и смањење готовине у домаћинству, накнаде од национализоване имовине, накнаде на основу животног осигурања, осигурања имовине и сл.</w:t>
      </w:r>
    </w:p>
    <w:p>
      <w:pPr>
        <w:ind w:left="360"/>
        <w:jc w:val="both"/>
        <w:rPr>
          <w:rFonts w:ascii="Arial" w:hAnsi="Arial"/>
          <w:sz w:val="20"/>
        </w:rPr>
      </w:pPr>
    </w:p>
    <w:p>
      <w:pPr>
        <w:ind w:left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Приходи домаћинстава у натури</w:t>
      </w:r>
    </w:p>
    <w:p>
      <w:pPr>
        <w:ind w:left="360"/>
        <w:jc w:val="both"/>
        <w:rPr>
          <w:rFonts w:ascii="Arial" w:hAnsi="Arial"/>
          <w:b w:val="1"/>
          <w:sz w:val="20"/>
        </w:rPr>
      </w:pPr>
    </w:p>
    <w:p>
      <w:pPr>
        <w:numPr>
          <w:ilvl w:val="0"/>
          <w:numId w:val="8"/>
        </w:numPr>
        <w:tabs>
          <w:tab w:val="left" w:pos="765" w:leader="none"/>
        </w:tabs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у натури на име зарада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 храну, одећу, обућу,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плаћене рачуне домаћинству за струју, телефон, регистрацију, бензин и др., од стране послодавца и сл.;</w:t>
      </w:r>
    </w:p>
    <w:p>
      <w:pPr>
        <w:numPr>
          <w:ilvl w:val="0"/>
          <w:numId w:val="8"/>
        </w:numPr>
        <w:tabs>
          <w:tab w:val="left" w:pos="765" w:leader="none"/>
        </w:tabs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Натурална потрошња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 вредност производа из сопствене производње домаћинстава утрошених за личну потрошњу (храна, пиће, дрво за огрев и сл.).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Лична потрошња домаћинстава</w:t>
      </w:r>
      <w:r>
        <w:rPr>
          <w:rFonts w:ascii="Arial" w:hAnsi="Arial"/>
          <w:sz w:val="20"/>
        </w:rPr>
        <w:t xml:space="preserve"> дата је по следећим групама COICOP класификације (Класификација личне потрошње по намени): Храна и безалкохолна пића; Алкохолна пића, дуван и наркотици; Одећа и обућа; Становање, вода, ел. енергија, гас и остала горива; Опрема за стан и текуће одржавање; Здравље; Транспорт; Комуникације; Рекреација и култура; Образовање; Ресторани и хотели и  Остали лични предмети и остале услуге.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Објављени подаци односе се на расположива средства и личну потрошњу у првом кварталу 2013. године и представљају месечне просеке по домаћинству, изражене у динарима (РСД).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6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"mailto:natasa.mijakovac@stat.gov.rs"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natasa.mijakovac@stat.gov.rs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sz w:val="18"/>
        </w:rPr>
        <w:t xml:space="preserve">  тел: 011 2412-922  локал 242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квартална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964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</w:pPr>
    <w:r>
      <w:rPr>
        <w:rFonts w:ascii="Arial" w:hAnsi="Arial"/>
        <w:sz w:val="16"/>
      </w:rPr>
      <w:t>СРБ163 ЛП12 140613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</w:pPr>
    <w:r>
      <w:rPr>
        <w:rFonts w:ascii="Arial" w:hAnsi="Arial"/>
        <w:sz w:val="16"/>
      </w:rPr>
      <w:t xml:space="preserve">СРБ163 ЛП12 140613 </w:t>
    </w:r>
  </w:p>
</w:ftr>
</file>

<file path=word/numbering.xml><?xml version="1.0" encoding="utf-8"?>
<w:numbering xmlns:w="http://schemas.openxmlformats.org/wordprocessingml/2006/main">
  <w:abstractNum w:abstractNumId="0">
    <w:nsid w:val="08A96C78"/>
    <w:multiLevelType w:val="hybridMultilevel"/>
    <w:lvl w:ilvl="0" w:tplc="636AD0D7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2BFCBED8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C842F9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2D832F7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2D3F962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247366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F1BF4C8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65A7765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7663AC9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">
    <w:nsid w:val="14D201CA"/>
    <w:multiLevelType w:val="hybridMultilevel"/>
    <w:lvl w:ilvl="0" w:tplc="2A9FC7B3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17690C2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C04BB6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6AB014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868DDD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BA62AE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998013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ACD163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60AA5F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2E7C01FD"/>
    <w:multiLevelType w:val="hybridMultilevel"/>
    <w:lvl w:ilvl="0" w:tplc="3EC8DB3D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D7125C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10DC24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D58BD0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EC284C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765856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61E5F9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9B07FE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6B7C88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43031DF5"/>
    <w:multiLevelType w:val="hybridMultilevel"/>
    <w:lvl w:ilvl="0" w:tplc="098B1633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CF463E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B5FDCE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07B33C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B79C3E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E84EC0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BF8741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B82E69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ADC5B8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51C11176"/>
    <w:multiLevelType w:val="hybridMultilevel"/>
    <w:lvl w:ilvl="0" w:tplc="79A60F56">
      <w:start w:val="0"/>
      <w:numFmt w:val="bullet"/>
      <w:suff w:val="tab"/>
      <w:lvlText w:val="-"/>
      <w:lvlJc w:val="left"/>
      <w:pPr>
        <w:ind w:hanging="360" w:left="1485"/>
        <w:tabs>
          <w:tab w:val="left" w:pos="1485" w:leader="none"/>
        </w:tabs>
      </w:pPr>
      <w:rPr>
        <w:rFonts w:ascii="Times New Roman" w:hAnsi="Times New Roman"/>
      </w:rPr>
    </w:lvl>
    <w:lvl w:ilvl="1" w:tplc="7F3B5AC2">
      <w:start w:val="1"/>
      <w:numFmt w:val="bullet"/>
      <w:suff w:val="tab"/>
      <w:lvlText w:val="o"/>
      <w:lvlJc w:val="left"/>
      <w:pPr>
        <w:ind w:hanging="360" w:left="2205"/>
        <w:tabs>
          <w:tab w:val="left" w:pos="2205" w:leader="none"/>
        </w:tabs>
      </w:pPr>
      <w:rPr>
        <w:rFonts w:ascii="Courier New" w:hAnsi="Courier New"/>
      </w:rPr>
    </w:lvl>
    <w:lvl w:ilvl="2" w:tplc="146AA590">
      <w:start w:val="1"/>
      <w:numFmt w:val="bullet"/>
      <w:suff w:val="tab"/>
      <w:lvlText w:val=""/>
      <w:lvlJc w:val="left"/>
      <w:pPr>
        <w:ind w:hanging="360" w:left="2925"/>
        <w:tabs>
          <w:tab w:val="left" w:pos="2925" w:leader="none"/>
        </w:tabs>
      </w:pPr>
      <w:rPr>
        <w:rFonts w:ascii="Wingdings" w:hAnsi="Wingdings"/>
      </w:rPr>
    </w:lvl>
    <w:lvl w:ilvl="3" w:tplc="69E0F6DC">
      <w:start w:val="1"/>
      <w:numFmt w:val="bullet"/>
      <w:suff w:val="tab"/>
      <w:lvlText w:val=""/>
      <w:lvlJc w:val="left"/>
      <w:pPr>
        <w:ind w:hanging="360" w:left="3645"/>
        <w:tabs>
          <w:tab w:val="left" w:pos="3645" w:leader="none"/>
        </w:tabs>
      </w:pPr>
      <w:rPr>
        <w:rFonts w:ascii="Symbol" w:hAnsi="Symbol"/>
      </w:rPr>
    </w:lvl>
    <w:lvl w:ilvl="4" w:tplc="5559BFB9">
      <w:start w:val="1"/>
      <w:numFmt w:val="bullet"/>
      <w:suff w:val="tab"/>
      <w:lvlText w:val="o"/>
      <w:lvlJc w:val="left"/>
      <w:pPr>
        <w:ind w:hanging="360" w:left="4365"/>
        <w:tabs>
          <w:tab w:val="left" w:pos="4365" w:leader="none"/>
        </w:tabs>
      </w:pPr>
      <w:rPr>
        <w:rFonts w:ascii="Courier New" w:hAnsi="Courier New"/>
      </w:rPr>
    </w:lvl>
    <w:lvl w:ilvl="5" w:tplc="50BAC858">
      <w:start w:val="1"/>
      <w:numFmt w:val="bullet"/>
      <w:suff w:val="tab"/>
      <w:lvlText w:val=""/>
      <w:lvlJc w:val="left"/>
      <w:pPr>
        <w:ind w:hanging="360" w:left="5085"/>
        <w:tabs>
          <w:tab w:val="left" w:pos="5085" w:leader="none"/>
        </w:tabs>
      </w:pPr>
      <w:rPr>
        <w:rFonts w:ascii="Wingdings" w:hAnsi="Wingdings"/>
      </w:rPr>
    </w:lvl>
    <w:lvl w:ilvl="6" w:tplc="760B93BC">
      <w:start w:val="1"/>
      <w:numFmt w:val="bullet"/>
      <w:suff w:val="tab"/>
      <w:lvlText w:val=""/>
      <w:lvlJc w:val="left"/>
      <w:pPr>
        <w:ind w:hanging="360" w:left="5805"/>
        <w:tabs>
          <w:tab w:val="left" w:pos="5805" w:leader="none"/>
        </w:tabs>
      </w:pPr>
      <w:rPr>
        <w:rFonts w:ascii="Symbol" w:hAnsi="Symbol"/>
      </w:rPr>
    </w:lvl>
    <w:lvl w:ilvl="7" w:tplc="3B52B69D">
      <w:start w:val="1"/>
      <w:numFmt w:val="bullet"/>
      <w:suff w:val="tab"/>
      <w:lvlText w:val="o"/>
      <w:lvlJc w:val="left"/>
      <w:pPr>
        <w:ind w:hanging="360" w:left="6525"/>
        <w:tabs>
          <w:tab w:val="left" w:pos="6525" w:leader="none"/>
        </w:tabs>
      </w:pPr>
      <w:rPr>
        <w:rFonts w:ascii="Courier New" w:hAnsi="Courier New"/>
      </w:rPr>
    </w:lvl>
    <w:lvl w:ilvl="8" w:tplc="153525D5">
      <w:start w:val="1"/>
      <w:numFmt w:val="bullet"/>
      <w:suff w:val="tab"/>
      <w:lvlText w:val=""/>
      <w:lvlJc w:val="left"/>
      <w:pPr>
        <w:ind w:hanging="360" w:left="7245"/>
        <w:tabs>
          <w:tab w:val="left" w:pos="7245" w:leader="none"/>
        </w:tabs>
      </w:pPr>
      <w:rPr>
        <w:rFonts w:ascii="Wingdings" w:hAnsi="Wingdings"/>
      </w:rPr>
    </w:lvl>
  </w:abstractNum>
  <w:abstractNum w:abstractNumId="5">
    <w:nsid w:val="6B666B95"/>
    <w:multiLevelType w:val="hybridMultilevel"/>
    <w:lvl w:ilvl="0" w:tplc="660CD147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1A22477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D3968C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E71779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87E97D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7538E4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24D72F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37A95F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85A8A5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6DF51102"/>
    <w:multiLevelType w:val="hybridMultilevel"/>
    <w:lvl w:ilvl="0" w:tplc="67455E7F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461214C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D3A3A0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51EAB3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CB9D36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9237A7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B8F6DD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590DF9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966137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71AD50E7"/>
    <w:multiLevelType w:val="hybridMultilevel"/>
    <w:lvl w:ilvl="0" w:tplc="4C065DD8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A2494E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BEF483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D7FCF6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AB28D3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CE5F73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0C9D06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FF1F1E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B91BB7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spacing w:lineRule="auto" w:line="235"/>
      <w:ind w:firstLine="720"/>
      <w:jc w:val="both"/>
      <w:outlineLvl w:val="7"/>
    </w:pPr>
    <w:rPr>
      <w:rFonts w:ascii="Arial" w:hAnsi="Arial"/>
      <w:b w:val="1"/>
      <w:i w:val="1"/>
      <w:sz w:val="20"/>
    </w:rPr>
  </w:style>
  <w:style w:type="paragraph" w:styleId="P10">
    <w:name w:val="Heading 9"/>
    <w:basedOn w:val="P0"/>
    <w:next w:val="P0"/>
    <w:pPr>
      <w:keepNext w:val="1"/>
      <w:spacing w:lineRule="auto" w:line="235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 3"/>
    <w:basedOn w:val="P0"/>
    <w:next w:val="P17"/>
    <w:pPr>
      <w:jc w:val="center"/>
    </w:pPr>
    <w:rPr>
      <w:rFonts w:ascii="Arial" w:hAnsi="Arial"/>
      <w:b w:val="1"/>
      <w:sz w:val="20"/>
    </w:rPr>
  </w:style>
  <w:style w:type="paragraph" w:styleId="P18">
    <w:name w:val="Body Text"/>
    <w:basedOn w:val="P0"/>
    <w:next w:val="P18"/>
    <w:pPr>
      <w:spacing w:after="120"/>
    </w:pPr>
    <w:rPr/>
  </w:style>
  <w:style w:type="paragraph" w:styleId="P19">
    <w:name w:val="Body Text 2"/>
    <w:basedOn w:val="P0"/>
    <w:next w:val="P19"/>
    <w:pPr>
      <w:spacing w:lineRule="auto" w:line="480" w:after="120"/>
    </w:pPr>
    <w:rPr/>
  </w:style>
  <w:style w:type="paragraph" w:styleId="P20">
    <w:name w:val="Car Car"/>
    <w:basedOn w:val="P0"/>
    <w:next w:val="P20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1">
    <w:name w:val="predkolm"/>
    <w:basedOn w:val="P0"/>
    <w:next w:val="P21"/>
    <w:pPr>
      <w:ind w:hanging="170" w:left="170"/>
    </w:pPr>
    <w:rPr>
      <w:rFonts w:ascii="CTimesBold" w:hAnsi="CTimesBold"/>
      <w:sz w:val="14"/>
    </w:rPr>
  </w:style>
  <w:style w:type="paragraph" w:styleId="P22">
    <w:name w:val=" Char Char Char Char Char1 Char"/>
    <w:basedOn w:val="P0"/>
    <w:next w:val="P22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23">
    <w:name w:val="Balloon Text"/>
    <w:basedOn w:val="P0"/>
    <w:next w:val="P23"/>
    <w:pPr/>
    <w:rPr>
      <w:rFonts w:ascii="Tahoma" w:hAnsi="Tahoma"/>
      <w:sz w:val="16"/>
    </w:rPr>
  </w:style>
  <w:style w:type="character" w:styleId="C0" w:default="1">
    <w:name w:val="Default Paragraph Font"/>
    <w:link w:val="P20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2013-06-13T11:44:00Z</dcterms:created>
  <cp:lastModifiedBy>Nikola Kapetanovic</cp:lastModifiedBy>
  <cp:lastPrinted>2012-09-13T11:20:00Z</cp:lastPrinted>
  <dcterms:modified xsi:type="dcterms:W3CDTF">2020-01-10T11:17:16Z</dcterms:modified>
  <cp:revision>5</cp:revision>
  <dc:title>Промет робе у трговини на мало у Републици Србији, јануар 2003</dc:title>
</cp:coreProperties>
</file>