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FAA949" Type="http://schemas.openxmlformats.org/officeDocument/2006/relationships/officeDocument" Target="/word/document.xml" /><Relationship Id="coreR32FAA9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број 158 - год. LXIII, 14.06.2013.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СРБ158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</w:rPr>
              <w:t>ГР30 140613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април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априлу 2013, пријављена је изградња 924 стана с просечном површином 73,0 m². Према издатим дозволама, број станова мањи је за 65,0% него у априлу 2012. Од укупног броја станова у новим стамбеним зградама, 17,6% станова биће грађено у зградама с једним станом, с просечном површином 133,5 m², а 70,0% станова биће грађено у зградама с три стана и више станова, и њихова просечна површина биће знатно мања и износиће 58,4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априлу 2013. издато је 684 грађевинске дозволе, што је за 9,6% мање него у априлу претходне године. Индекс предвиђене вредности радова у априлу 2013. мањи је за 76,8% у односу на април 2012.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априлу 2013. издато је 71,2% дозволa за зграде и 28,8% за остале грађевине. Ако се посматрају само зграде, 73,1% односи се на стамбене и 26,9% на нестамбене зграде, док се код осталих грађевина највећи део односи на цевоводе, комуникационе и електричне водове, 56,9%.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априлу 2013. износи 84,4% од укупно предвиђене вредности радова. Највећа грађевинска активност, посматрано према областима, забележена је у Шумадијској</w:t>
      </w:r>
      <w:r>
        <w:rPr>
          <w:color w:val="FF0000"/>
        </w:rPr>
        <w:t xml:space="preserve"> </w:t>
      </w:r>
      <w:r>
        <w:t xml:space="preserve">области, 27,1% од предвиђене вредности новоградње. Следе Београдска област, 19,7%, Рашка област, 8,0%, Јужнобачка и Сремска област, 5,5%,  док се учешћа осталих области крећу од 0,1 до 3,4%.</w:t>
      </w:r>
    </w:p>
    <w:p>
      <w:pPr>
        <w:pStyle w:val="P12"/>
      </w:pPr>
      <w:r>
        <w:drawing>
          <wp:inline xmlns:wp="http://schemas.openxmlformats.org/drawingml/2006/wordprocessingDrawing">
            <wp:extent cx="6109970" cy="406463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40646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I–IV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I–IV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III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IV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>
      <w:pPr>
        <w:rPr>
          <w:color w:val="FF0000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color w:val="0000FF"/>
          <w:sz w:val="18"/>
        </w:rPr>
      </w:pPr>
      <w:r>
        <w:rPr>
          <w:rFonts w:ascii="Arial" w:hAnsi="Arial"/>
          <w:color w:val="0000FF"/>
          <w:sz w:val="18"/>
        </w:rPr>
        <w:t>(</w:t>
      </w:r>
      <w:r>
        <w:rPr>
          <w:rFonts w:ascii="Arial" w:hAnsi="Arial"/>
          <w:color w:val="0000FF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color w:val="0000FF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color w:val="0000FF"/>
          <w:sz w:val="18"/>
        </w:rPr>
        <w:t>).</w:t>
      </w:r>
    </w:p>
    <w:p>
      <w:pPr>
        <w:ind w:firstLine="714"/>
        <w:jc w:val="both"/>
        <w:rPr>
          <w:rFonts w:ascii="Arial" w:hAnsi="Arial"/>
          <w:color w:val="FF0000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СРБ158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140613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623E4CE4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AA8E4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24A29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D4E46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E8C36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09F6B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67A2B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024A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C3C72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15B47B0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61785B9E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7B6700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15A3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7582E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3C89F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3427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F48A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5EF51C88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1551266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2B98D9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9D2EBC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F7A533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6E7DB6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7D75BA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DF8880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929632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298DD3C4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3CF524B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06145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3768EC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CB6E6A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9FD5FC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87811D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347E24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761ADD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60E41C36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967D7D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7A481F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9562FC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1BDC5A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AC5640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6DAA1D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9310C9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57F5A4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05EFA38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DE09BE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CD0E72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9D58AD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87B7F9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657293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D022C9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2BA98B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823BEC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12BD9A7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A2CA9F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C3F9B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3C109E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4D47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DC5C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BF60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7C23F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727D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16A1045A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584D396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8FD946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77AFCD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2EEF01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0CDC2A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513D60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B586DB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ECC4FD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565009A4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59EEDC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39361C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7F4299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2F849F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649479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1688120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1E7B92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017EC1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1C587D06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5FB848F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479A51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A0A1D9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674622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9FC4DE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1D9A0F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5BA786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91B3949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649DB42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D2313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E1A90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5C825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96CF8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41A1A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52E60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399E7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E3D43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1C81C6E4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4E74A6A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AF1ACD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C03257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4C1B5C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D2311D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78AD95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6B222F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D1BABF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34905E06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2AC970DA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734600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C7AB31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5888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9658FC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C470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66E43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C3DAF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F8D8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2013-06-14T08:53:00Z</dcterms:created>
  <cp:lastModifiedBy>Nikola Kapetanovic</cp:lastModifiedBy>
  <cp:lastPrinted>2013-06-14T08:54:00Z</cp:lastPrinted>
  <dcterms:modified xsi:type="dcterms:W3CDTF">2020-01-10T11:17:16Z</dcterms:modified>
  <cp:revision>6</cp:revision>
  <dc:title>Република Србија</dc:title>
</cp:coreProperties>
</file>