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65E8C4" Type="http://schemas.openxmlformats.org/officeDocument/2006/relationships/officeDocument" Target="/word/document.xml" /><Relationship Id="coreR5765E8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број  126 - год. LXIII, 15.05.2013.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СРБ126 ГР30 150513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март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марту 2013, пријављена је изградња 737 станова с просечном површином 72,0 m². Број станова, према издатим дозволама, већи је за 6,0% него у марту 2012. Од укупног броја станова у новим стамбеним зградама, 16,8% станова биће грађено у зградама с једним станом, с просечном површином 120,2 m², а 75,8% станова биће грађено у зградама с три стана и више станова, и њихова просечна површина биће знатно мања и износиће 58,9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марту 2013. издато је 564 грађевинских дозвола, што је за 4,2% мање него у марту претходне године. Индекс предвиђене вредности радова у марту 2013. већи је за 31,4% у односу на март 2012.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марту 2013. издато је 72,9% дозволa за зграде и 27,1% за остале грађевине. Ако се посматрају само зграде, 69,6% односи се на стамбене и 30,4% на нестамбене зграде, док се код осталих грађевина највећи део односи на цевоводе, комуникационе и електричне водове, 68,0%.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Предвиђена вредност радова новоградње у марту 2013. износи 64,3% од укупно предвиђене вредности радова. Највећа грађевинска активност, посматрано према областима, забележена је у Београдској области, 30,2% од предвиђене вредности новоградње. Следе Јужнобачка област, 14,1%, Западнобачка област, 7,2%, Јужнобанатска област, 6,6%, и Сремска област, 6,3%,  док се учешћа осталих области крећу од 0,1 до 4,8%.</w:t>
      </w:r>
    </w:p>
    <w:p>
      <w:pPr>
        <w:pStyle w:val="P12"/>
      </w:pPr>
    </w:p>
    <w:p>
      <w:pPr>
        <w:pStyle w:val="P12"/>
      </w:pPr>
    </w:p>
    <w:p>
      <w:pPr>
        <w:pStyle w:val="P12"/>
      </w:pPr>
      <w:r>
        <w:drawing>
          <wp:inline xmlns:wp="http://schemas.openxmlformats.org/drawingml/2006/wordprocessingDrawing">
            <wp:extent cx="6109970" cy="406463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40646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2"/>
      </w:pPr>
    </w:p>
    <w:p>
      <w:pPr>
        <w:pStyle w:val="P12"/>
      </w:pP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I–III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</w:tr>
    </w:tbl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објекта, 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три документа које издају надлежни органи: грађевинска дозвола за изградњу грађевинског објекта, пријава почетка радова и решење којим се одобрава извођење радова,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тј, зa зграде и остале грађевине, и приказују се по територијама на којима се изводе планирани радови у земљи,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Грађевине</w:t>
      </w:r>
      <w:r>
        <w:rPr>
          <w:rFonts w:ascii="Arial" w:hAnsi="Arial"/>
          <w:sz w:val="18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уградњу, Припрема земље, сејање или сађење итд,, тј, радови који служе у пољопривредне сврхе не спадају у грађевинске радове,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 xml:space="preserve">Зграде </w:t>
      </w:r>
      <w:r>
        <w:rPr>
          <w:rFonts w:ascii="Arial" w:hAnsi="Arial"/>
          <w:sz w:val="18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Зградама се сматрају и грађевине које имају кров, али немају (све) зидове (нпр, настрешнице), као и грађевине које су претежно или потпуно смештене испод површине земље (нпр, склоништа, подземне гараже, продавнице и други пословни простор у подземним пролазима и сл,),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Остале грађевине</w:t>
      </w:r>
      <w:r>
        <w:rPr>
          <w:rFonts w:ascii="Arial" w:hAnsi="Arial"/>
          <w:sz w:val="18"/>
        </w:rPr>
        <w:t xml:space="preserve"> јесу све грађевине које нису зграде: железнице, путеви, мостови, ауто-путеви, аеродромске стазе, базени итд,</w:t>
      </w:r>
    </w:p>
    <w:p>
      <w:pPr>
        <w:pStyle w:val="P14"/>
        <w:spacing w:before="60"/>
        <w:ind w:firstLine="397"/>
        <w:rPr>
          <w:sz w:val="18"/>
        </w:rPr>
      </w:pPr>
      <w:r>
        <w:rPr>
          <w:b w:val="1"/>
          <w:sz w:val="18"/>
        </w:rPr>
        <w:t>Бруто површина зграде (</w:t>
      </w:r>
      <w:r>
        <w:rPr>
          <w:b w:val="1"/>
          <w:sz w:val="18"/>
        </w:rPr>
        <w:t>m²</w:t>
      </w:r>
      <w:r>
        <w:rPr>
          <w:b w:val="1"/>
          <w:sz w:val="18"/>
        </w:rPr>
        <w:t xml:space="preserve">) </w:t>
      </w:r>
      <w:r>
        <w:rPr>
          <w:sz w:val="18"/>
        </w:rPr>
        <w:t>јесте збир површина свих етажа у згради које су обухваћене спољним зидовима, укључујући и дебљину спољних зидова,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Корисна површина стана</w:t>
      </w:r>
      <w:r>
        <w:rPr>
          <w:rFonts w:ascii="Arial" w:hAnsi="Arial"/>
          <w:sz w:val="18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стана, 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 xml:space="preserve">Предвиђена вредност радова </w:t>
      </w:r>
      <w:r>
        <w:rPr>
          <w:rFonts w:ascii="Arial" w:hAnsi="Arial"/>
          <w:sz w:val="18"/>
        </w:rPr>
        <w:t>представља планирану вредност радова на грађевини,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РЗС-а „Методологије и стандарди“: Месечна истраживања о грађевинским дозволама, свеска број 22, и Класификација врста грађевина, свеска број 15, на сајту Републичког завода за статистику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http://webrzs,stat,gov,rs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,</w:t>
      </w:r>
    </w:p>
    <w:p>
      <w:pPr>
        <w:spacing w:before="6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1999, године не располаже појединим подацима за АП Косово и Метохија, тако да они нису садржани у обухвату података за Републику Србију (укупно),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gabrijela.rosic@stat.gov.rs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тел: 011 2412-922 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www,stat,gov,rs</w:t>
        <w:br w:type="textWrapping"/>
        <w:t xml:space="preserve">Одговара: проф,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420" w:bottom="49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spacing w:before="6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6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СРБ126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150513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2A263B81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2B458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68AA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07275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ED9A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B360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4E8F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74D36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6760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4DAA342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3749D868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62DEF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E588A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EB77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3D15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6A6F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95D7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11849709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6DFB625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B18927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CC675D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7CA428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CA8E4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7BD271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D2F4CF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36896F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6BD04B82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32C24D0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B03A5C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E8B1C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DCC05A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928B59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F87BAD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9F3034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00583C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31D7338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4BD6F6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D1FEA1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48DFBE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5A492B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3E1334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DAB4EF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17151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E5209F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7B1E3E6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D4D95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2EDE9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A247BD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09B0C1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55FBA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7718AE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AAADB2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A1962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59107E2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F9029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5BF9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E9C9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AB83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D7DA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8504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E314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8C42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0A712EA9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47EAFD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FDE2F7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E2123C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6A6354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9F2866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6E5F46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365E33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8AD012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0075EEA1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CF69B2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856CF9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7375F2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F1B26E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B32E6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478845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C9EE8A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45A74A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107AAE72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1ABD0A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22740E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5ADAA1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E7727D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3212A8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C871F6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6773CB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FA01B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3DA98AC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1ED69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D11EBC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4810B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08F86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C17EF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54F0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3A21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9866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0E73DB74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4CFD1B9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22EA40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8FB642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33E887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D3529D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CA8FB8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6FB9D4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B4410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144AC693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71D91EF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5DDDB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A8CB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71467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0C9A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7D65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0A57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3745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6501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2013-05-15T06:46:00Z</dcterms:created>
  <cp:lastModifiedBy>Nikola Kapetanovic</cp:lastModifiedBy>
  <cp:lastPrinted>2013-05-14T09:29:00Z</cp:lastPrinted>
  <dcterms:modified xsi:type="dcterms:W3CDTF">2020-01-10T11:17:15Z</dcterms:modified>
  <cp:revision>4</cp:revision>
  <dc:title>Република Србија</dc:title>
</cp:coreProperties>
</file>