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18CF725" Type="http://schemas.openxmlformats.org/officeDocument/2006/relationships/officeDocument" Target="/word/document.xml" /><Relationship Id="coreR218CF725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623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485"/>
        </w:trPr>
        <w:tc>
          <w:tcPr>
            <w:tcW w:w="1560" w:type="dxa"/>
            <w:gridSpan w:val="2"/>
            <w:vMerge w:val="restart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r>
              <w:drawing>
                <wp:anchor xmlns:wp="http://schemas.openxmlformats.org/drawingml/2006/wordprocessingDrawing" simplePos="0" allowOverlap="0" behindDoc="1" layoutInCell="1" locked="0" relativeHeight="1" distL="114300" distR="114300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212090</wp:posOffset>
                  </wp:positionV>
                  <wp:extent cx="904875" cy="219075"/>
                  <wp:wrapNone/>
                  <wp:docPr id="1" name="Picture 1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xmlns:r="http://schemas.openxmlformats.org/officeDocument/2006/relationships" r:embed="Relimage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219075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</w:tcBorders>
            <w:vAlign w:val="bottom"/>
          </w:tcPr>
          <w:p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Република Србија</w:t>
            </w:r>
          </w:p>
        </w:tc>
        <w:tc>
          <w:tcPr>
            <w:tcW w:w="2687" w:type="dxa"/>
            <w:tcBorders>
              <w:top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>ISSN 0353-9555</w:t>
            </w:r>
          </w:p>
        </w:tc>
      </w:tr>
      <w:tr>
        <w:trPr>
          <w:wAfter w:w="0" w:type="dxa"/>
          <w:trHeight w:hRule="atLeast" w:val="257"/>
        </w:trPr>
        <w:tc>
          <w:tcPr>
            <w:tcW w:w="1560" w:type="dxa"/>
            <w:gridSpan w:val="2"/>
            <w:vMerge w:val="continue"/>
            <w:tcBorders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5376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left"/>
              <w:rPr>
                <w:b w:val="1"/>
              </w:rPr>
            </w:pPr>
            <w:r>
              <w:rPr>
                <w:sz w:val="20"/>
              </w:rPr>
              <w:t xml:space="preserve">  Републички завод за статистику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7"/>
              <w:jc w:val="right"/>
              <w:rPr>
                <w:b w:val="1"/>
              </w:rPr>
            </w:pPr>
          </w:p>
        </w:tc>
      </w:tr>
      <w:tr>
        <w:trPr>
          <w:wAfter w:w="0" w:type="dxa"/>
          <w:trHeight w:hRule="atLeast" w:val="7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b w:val="1"/>
                <w:color w:val="808080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САОПШТЕЊЕ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b w:val="1"/>
                <w:sz w:val="12"/>
              </w:rPr>
            </w:pPr>
            <w:r>
              <w:rPr>
                <w:rFonts w:ascii="Arial" w:hAnsi="Arial"/>
                <w:b w:val="1"/>
                <w:color w:val="808080"/>
                <w:sz w:val="48"/>
              </w:rPr>
              <w:t>ГР</w:t>
            </w:r>
            <w:r>
              <w:rPr>
                <w:rFonts w:ascii="Arial" w:hAnsi="Arial"/>
                <w:b w:val="1"/>
                <w:color w:val="808080"/>
                <w:sz w:val="48"/>
              </w:rPr>
              <w:t>3</w:t>
            </w:r>
            <w:r>
              <w:rPr>
                <w:rFonts w:ascii="Arial" w:hAnsi="Arial"/>
                <w:b w:val="1"/>
                <w:color w:val="808080"/>
                <w:sz w:val="48"/>
              </w:rPr>
              <w:t>0</w:t>
            </w:r>
          </w:p>
        </w:tc>
      </w:tr>
      <w:tr>
        <w:trPr>
          <w:wAfter w:w="0" w:type="dxa"/>
          <w:trHeight w:hRule="atLeast" w:val="329"/>
        </w:trPr>
        <w:tc>
          <w:tcPr>
            <w:tcW w:w="2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</w:p>
        </w:tc>
        <w:tc>
          <w:tcPr>
            <w:tcW w:w="6916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shd w:val="nil" w:color="auto" w:fill="auto"/>
            <w:vAlign w:val="center"/>
          </w:tcPr>
          <w:p>
            <w:pPr>
              <w:rPr>
                <w:rFonts w:ascii="Arial" w:hAnsi="Arial"/>
                <w:sz w:val="20"/>
              </w:rPr>
            </w:pPr>
            <w:bookmarkStart w:id="0" w:name="broj"/>
            <w:bookmarkEnd w:id="0"/>
            <w:r>
              <w:rPr>
                <w:rFonts w:ascii="Arial" w:hAnsi="Arial"/>
                <w:sz w:val="20"/>
              </w:rPr>
              <w:t>број 102 - год. LXIII, 15.04.2013.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sz w:val="20"/>
              </w:rPr>
            </w:pPr>
          </w:p>
        </w:tc>
      </w:tr>
      <w:tr>
        <w:trPr>
          <w:wAfter w:w="0" w:type="dxa"/>
          <w:trHeight w:hRule="atLeast" w:val="435"/>
        </w:trPr>
        <w:tc>
          <w:tcPr>
            <w:tcW w:w="6936" w:type="dxa"/>
            <w:gridSpan w:val="3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bottom"/>
          </w:tcPr>
          <w:p>
            <w:pPr>
              <w:spacing w:before="80"/>
              <w:rPr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jc w:val="right"/>
              <w:rPr>
                <w:rFonts w:ascii="Arial" w:hAnsi="Arial"/>
                <w:color w:val="808080"/>
                <w:sz w:val="20"/>
              </w:rPr>
            </w:pPr>
            <w:bookmarkStart w:id="1" w:name="datum"/>
            <w:bookmarkEnd w:id="1"/>
            <w:r>
              <w:rPr>
                <w:rFonts w:ascii="Arial" w:hAnsi="Arial"/>
                <w:sz w:val="20"/>
              </w:rPr>
              <w:t>СРБ102 ГР30 150413</w:t>
            </w:r>
          </w:p>
        </w:tc>
      </w:tr>
    </w:tbl>
    <w:p>
      <w:pPr>
        <w:rPr>
          <w:sz w:val="4"/>
        </w:rPr>
      </w:pPr>
    </w:p>
    <w:p>
      <w:pPr>
        <w:pStyle w:val="P26"/>
        <w:spacing w:before="600"/>
      </w:pPr>
      <w:r>
        <w:t>Издате грађевинске дозволе у Републици Србији, фебруар 2013.</w:t>
      </w:r>
    </w:p>
    <w:p>
      <w:pPr>
        <w:pStyle w:val="P20"/>
        <w:spacing w:before="240"/>
      </w:pPr>
      <w:r>
        <w:t>– Претходни резултати –</w:t>
      </w:r>
    </w:p>
    <w:p>
      <w:pPr>
        <w:jc w:val="center"/>
        <w:rPr>
          <w:sz w:val="20"/>
        </w:rPr>
      </w:pPr>
    </w:p>
    <w:p>
      <w:pPr>
        <w:pStyle w:val="P27"/>
        <w:numPr>
          <w:ilvl w:val="0"/>
          <w:numId w:val="0"/>
        </w:numPr>
        <w:spacing w:after="120"/>
        <w:ind w:firstLine="397"/>
      </w:pPr>
      <w:r>
        <w:t>Према броју дозвола издатих у фебруару 2013, пријављена је изградња 617 станова с просечном површином 63,4 m². Број станова, према издатим дозволама, већи је за 9,0% него у фебруару 2012. Од укупног броја станова у новим стамбеним зградама, 13,5% станова биће грађено у зградама с једним станом, с просечном површином 115,6 m², а 78,0% станова биће грађено у зградама с три стана и више станова, и њихова просечна површина биће знатно мања и износиће 53,3 m².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У фебруару 2013. издато је 436 грађевинских дозвола, што је за 20,4% више него у фебруару претходне године. Индекс предвиђене вредности радова у фебруару 2013. мањи је за 0,5% у односу на фебруар 2012. </w:t>
      </w:r>
    </w:p>
    <w:p>
      <w:pPr>
        <w:pStyle w:val="P27"/>
        <w:numPr>
          <w:ilvl w:val="0"/>
          <w:numId w:val="0"/>
        </w:numPr>
        <w:spacing w:after="120"/>
        <w:ind w:firstLine="397"/>
        <w:rPr>
          <w:b w:val="1"/>
        </w:rPr>
      </w:pPr>
      <w:r>
        <w:t xml:space="preserve">Посматрано према врсти грађевина, у фебруару 2013. издато је 70,6% дозволa за зграде и 29,4% за остале грађевине. Ако се посматрају само зграде, 63,3% односи се на стамбене и 36,7% на нестамбене зграде, док се код осталих грађевина највећи део односи на цевоводе, комуникационе и електричне водове, 60,9%. 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Предвиђена вредност радова новоградње у фебруару 2013. износи 76,0% од укупно предвиђене вредности радова. Највећа грађевинска активност, посматрано према областима, забележена је у Београдској области, 17,3% од предвиђене вредности новоградње. Следе Борска област, 17,0%, Моравичка област, 12,7%, Нишавска област, 10,7%, и Западнобачка област, 9,2%,  док се учешћа осталих области крећу од 0,3 до 4,8%.</w:t>
      </w:r>
    </w:p>
    <w:p>
      <w:pPr>
        <w:pStyle w:val="P27"/>
        <w:numPr>
          <w:ilvl w:val="0"/>
          <w:numId w:val="0"/>
        </w:numPr>
        <w:spacing w:after="120"/>
        <w:ind w:firstLine="397"/>
      </w:pPr>
      <w:r>
        <w:t xml:space="preserve">Поред ових података корисницима стоје на располагању детаљни месечни подаци на нашем веб-сајту </w:t>
      </w:r>
      <w:r>
        <w:fldChar w:fldCharType="begin"/>
      </w:r>
      <w:r>
        <w:instrText xml:space="preserve"> HYPERLINK "http://www.stat.gov." </w:instrText>
      </w:r>
      <w:r>
        <w:fldChar w:fldCharType="separate"/>
      </w:r>
      <w:r>
        <w:rPr>
          <w:rStyle w:val="C2"/>
        </w:rPr>
        <w:t>www.stat.gov.rs</w:t>
      </w:r>
      <w:r>
        <w:rPr>
          <w:rStyle w:val="C2"/>
        </w:rPr>
        <w:fldChar w:fldCharType="end"/>
      </w:r>
      <w:r>
        <w:t>.</w:t>
      </w:r>
    </w:p>
    <w:p>
      <w:pPr>
        <w:pStyle w:val="P12"/>
      </w:pPr>
    </w:p>
    <w:p>
      <w:pPr>
        <w:pStyle w:val="P12"/>
      </w:pPr>
      <w:r>
        <w:drawing>
          <wp:inline xmlns:wp="http://schemas.openxmlformats.org/drawingml/2006/wordprocessingDrawing">
            <wp:extent cx="5774690" cy="335026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5774690" cy="335026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/>
    <w:p>
      <w:pPr>
        <w:pStyle w:val="P21"/>
        <w:numPr>
          <w:ilvl w:val="0"/>
          <w:numId w:val="0"/>
        </w:numPr>
        <w:spacing w:before="600"/>
      </w:pPr>
      <w:r>
        <w:t>Индекси издатих грађевинских дозвола у Републици Србији</w:t>
      </w:r>
    </w:p>
    <w:tbl>
      <w:tblPr>
        <w:tblStyle w:val="T3"/>
        <w:tblW w:w="0" w:type="auto"/>
        <w:jc w:val="center"/>
        <w:tblBorders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  <w:insideH w:val="none" w:sz="0" w:space="0" w:shadow="0" w:frame="0"/>
          <w:insideV w:val="none" w:sz="0" w:space="0" w:shadow="0" w:frame="0"/>
        </w:tblBorders>
        <w:tblLayout w:type="autofit"/>
        <w:tblCellMar>
          <w:left w:w="28" w:type="dxa"/>
          <w:right w:w="28" w:type="dxa"/>
        </w:tblCellMar>
      </w:tblPr>
      <w:tblGrid/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I–II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I–II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 2013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sz w:val="16"/>
              </w:rPr>
              <w:t>II 2012</w:t>
            </w: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</w:p>
          <w:p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II 2013</w:t>
            </w:r>
          </w:p>
          <w:p>
            <w:pPr>
              <w:jc w:val="center"/>
              <w:rPr>
                <w:rFonts w:ascii="Arial" w:hAnsi="Arial"/>
                <w:sz w:val="16"/>
              </w:rPr>
            </w:pPr>
          </w:p>
          <w:p>
            <w:pPr>
              <w:jc w:val="center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Symbol" w:hAnsi="Symbol"/>
                <w:sz w:val="16"/>
              </w:rPr>
              <w:t>Æ</w:t>
            </w:r>
            <w:r>
              <w:rPr>
                <w:rFonts w:ascii="Arial" w:hAnsi="Arial"/>
                <w:sz w:val="16"/>
              </w:rPr>
              <w:t xml:space="preserve"> 2012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top w:val="single" w:sz="4" w:space="0" w:shadow="0" w:frame="0"/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  <w:tcBorders>
              <w:top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Укупно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  <w:tc>
          <w:tcPr>
            <w:tcW w:w="1533" w:type="dxa"/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rPr>
                <w:b w:val="1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116,9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120,4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97,2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Зграде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50,5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101,1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49,2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106,1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48,8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Остале грађевине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  <w:trHeight w:hRule="atLeast" w:val="196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113,4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126,7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128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89,6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121,7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139,2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</w:tcPr>
          <w:p>
            <w:pPr>
              <w:pStyle w:val="P21"/>
              <w:numPr>
                <w:ilvl w:val="0"/>
                <w:numId w:val="0"/>
              </w:numPr>
              <w:spacing w:lineRule="auto" w:line="312" w:before="0" w:after="0"/>
              <w:jc w:val="left"/>
              <w:rPr>
                <w:b w:val="1"/>
                <w:sz w:val="16"/>
              </w:rPr>
            </w:pPr>
            <w:r>
              <w:rPr>
                <w:b w:val="0"/>
                <w:sz w:val="16"/>
              </w:rPr>
              <w:t>Станови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59,9</w:t>
            </w:r>
          </w:p>
        </w:tc>
      </w:tr>
      <w:tr>
        <w:trPr>
          <w:wAfter w:w="0" w:type="dxa"/>
        </w:trPr>
        <w:tc>
          <w:tcPr>
            <w:tcW w:w="3563" w:type="dxa"/>
            <w:tcBorders>
              <w:right w:val="single" w:sz="4" w:space="0" w:shadow="0" w:frame="0"/>
            </w:tcBorders>
            <w:vAlign w:val="center"/>
          </w:tcPr>
          <w:p>
            <w:pPr>
              <w:spacing w:lineRule="auto" w:line="312"/>
              <w:ind w:left="17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533" w:type="dxa"/>
            <w:tcBorders>
              <w:left w:val="single" w:sz="4" w:space="0" w:shadow="0" w:frame="0"/>
            </w:tcBorders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104,3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100,5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100,4</w:t>
            </w:r>
          </w:p>
        </w:tc>
        <w:tc>
          <w:tcPr>
            <w:tcW w:w="1533" w:type="dxa"/>
            <w:vAlign w:val="bottom"/>
          </w:tcPr>
          <w:p>
            <w:pPr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54,5</w:t>
            </w:r>
          </w:p>
        </w:tc>
      </w:tr>
    </w:tbl>
    <w:p>
      <w:pPr>
        <w:pStyle w:val="P9"/>
        <w:spacing w:before="480" w:after="120"/>
        <w:rPr>
          <w:sz w:val="22"/>
        </w:rPr>
      </w:pPr>
      <w:r>
        <w:rPr>
          <w:sz w:val="22"/>
        </w:rPr>
        <w:t>Методолошка објашњења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 и oпштинe, који према Закону о планирању и изградњи („Службени гласник РС“, број 72/09, члан 133) издају грађевинску дозволу за изградњу грађевинског објекта.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У оквиру овог истраживања, појмом „грађевинска дозвола“ обједињују се три документа које издају надлежни органи: грађевинска дозвола за изградњу грађевинског објекта, пријава почетка радова и решење којим се одобрава извођење радова.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Подаци о издатим грађевинским дозволама показују будуће кретање грађевинске делатности и омогућавају сагледавање структуре инвестиција како на државном нивоу, тако и на нивоу локалне самоуправе.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Грађевине</w:t>
      </w:r>
      <w:r>
        <w:rPr>
          <w:rFonts w:ascii="Arial" w:hAnsi="Arial"/>
          <w:sz w:val="19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 итд., тј. радови који служе у пољопривредне сврхе не спадају у грађевинске радове.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Зграде </w:t>
      </w:r>
      <w:r>
        <w:rPr>
          <w:rFonts w:ascii="Arial" w:hAnsi="Arial"/>
          <w:sz w:val="19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Зградама се сматрају и грађевине које имају кров,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Остале грађевине</w:t>
      </w:r>
      <w:r>
        <w:rPr>
          <w:rFonts w:ascii="Arial" w:hAnsi="Arial"/>
          <w:sz w:val="19"/>
        </w:rPr>
        <w:t xml:space="preserve"> јесу све грађевине које нису зграде: железнице, путеви, мостови, ауто-путеви, аеродромске стазе, базени итд.</w:t>
      </w:r>
    </w:p>
    <w:p>
      <w:pPr>
        <w:pStyle w:val="P14"/>
        <w:ind w:firstLine="397"/>
        <w:rPr>
          <w:sz w:val="19"/>
        </w:rPr>
      </w:pPr>
      <w:r>
        <w:rPr>
          <w:b w:val="1"/>
          <w:sz w:val="19"/>
        </w:rPr>
        <w:t>Бруто површина зграде (</w:t>
      </w:r>
      <w:r>
        <w:rPr>
          <w:b w:val="1"/>
          <w:sz w:val="19"/>
        </w:rPr>
        <w:t>m²</w:t>
      </w:r>
      <w:r>
        <w:rPr>
          <w:b w:val="1"/>
          <w:sz w:val="19"/>
        </w:rPr>
        <w:t xml:space="preserve">) </w:t>
      </w:r>
      <w:r>
        <w:rPr>
          <w:sz w:val="19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>Корисна површина стана</w:t>
      </w:r>
      <w:r>
        <w:rPr>
          <w:rFonts w:ascii="Arial" w:hAnsi="Arial"/>
          <w:sz w:val="19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b w:val="1"/>
          <w:sz w:val="19"/>
        </w:rPr>
        <w:t xml:space="preserve">Предвиђена вредност радова </w:t>
      </w:r>
      <w:r>
        <w:rPr>
          <w:rFonts w:ascii="Arial" w:hAnsi="Arial"/>
          <w:sz w:val="19"/>
        </w:rPr>
        <w:t>представља планирану вредност радова на грађевини.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Детаљна методолошка објашњења овог истраживања налазе се у едицији РЗС-а „Методологије и стандарди“: Месечна истраживања о грађевинским дозволама, свеска број 22, и Класификација врста грађевина, свеска број 15.</w:t>
      </w:r>
    </w:p>
    <w:p>
      <w:pPr>
        <w:ind w:firstLine="397"/>
        <w:jc w:val="both"/>
        <w:rPr>
          <w:rFonts w:ascii="Arial" w:hAnsi="Arial"/>
          <w:sz w:val="19"/>
        </w:rPr>
      </w:pPr>
      <w:r>
        <w:rPr>
          <w:rFonts w:ascii="Arial" w:hAnsi="Arial"/>
          <w:sz w:val="19"/>
        </w:rPr>
        <w:t>Републички завод за статистику од 1999. године не располаже појединим подацима за АП Косово и Метохија, тако да они нису садржани у обухвату података за Републику Србију (укупно).</w:t>
      </w:r>
    </w:p>
    <w:p>
      <w:pPr>
        <w:ind w:firstLine="714"/>
        <w:jc w:val="both"/>
        <w:rPr>
          <w:rFonts w:ascii="Arial" w:hAnsi="Arial"/>
          <w:sz w:val="20"/>
        </w:rPr>
      </w:pPr>
    </w:p>
    <w:p>
      <w:pPr>
        <w:ind w:firstLine="714"/>
        <w:jc w:val="both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10"/>
        </w:rPr>
      </w:pPr>
    </w:p>
    <w:p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Издаје и штампа: Републички завод за статистику, Београд, Милана Ракића 5 </w:t>
        <w:br w:type="textWrapping"/>
        <w:t>Tелефон: 011 2412-922 (централа) • Tелефакс: 011 2411-260 • www.stat.gov.rs</w:t>
        <w:br w:type="textWrapping"/>
        <w:t xml:space="preserve">Одговара: проф. др Драган Вукмировић, директор </w:t>
        <w:br w:type="textWrapping"/>
        <w:t>Tираж: 20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continuous"/>
      <w:pgSz w:w="11907" w:h="16840" w:code="0"/>
      <w:pgMar w:left="1134" w:right="1134" w:top="972" w:bottom="768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СРБ012 ЦН30 200111</w:t>
          </w:r>
        </w:p>
      </w:tc>
      <w:tc>
        <w:tcPr>
          <w:tcW w:w="4859" w:type="dxa"/>
        </w:tcPr>
        <w:p>
          <w:pPr>
            <w:pStyle w:val="P13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3</w:t>
          </w:r>
        </w:p>
      </w:tc>
    </w:tr>
  </w:tbl>
  <w:p>
    <w:pPr>
      <w:pStyle w:val="P13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3"/>
      <w:tblW w:w="0" w:type="auto"/>
      <w:tblInd w:w="78" w:type="dxa"/>
      <w:tblBorders>
        <w:top w:val="single" w:sz="4" w:space="0" w:shadow="0" w:frame="0"/>
        <w:left w:val="none" w:sz="0" w:space="0" w:shadow="0" w:frame="0"/>
        <w:bottom w:val="none" w:sz="0" w:space="0" w:shadow="0" w:frame="0"/>
        <w:right w:val="none" w:sz="0" w:space="0" w:shadow="0" w:frame="0"/>
        <w:insideH w:val="none" w:sz="0" w:space="0" w:shadow="0" w:frame="0"/>
        <w:insideV w:val="none" w:sz="0" w:space="0" w:shadow="0" w:frame="0"/>
      </w:tblBorders>
      <w:tblLayout w:type="autofit"/>
    </w:tblPr>
    <w:tblGrid/>
    <w:tr>
      <w:trPr>
        <w:wAfter w:w="0" w:type="dxa"/>
      </w:trPr>
      <w:tc>
        <w:tcPr>
          <w:tcW w:w="4849" w:type="dxa"/>
        </w:tcPr>
        <w:p>
          <w:pPr>
            <w:pStyle w:val="P13"/>
            <w:rPr>
              <w:rFonts w:ascii="Arial" w:hAnsi="Arial"/>
              <w:sz w:val="16"/>
            </w:rPr>
          </w:pPr>
          <w:r>
            <w:fldChar w:fldCharType="begin"/>
          </w:r>
          <w:r>
            <w:rPr>
              <w:rStyle w:val="C4"/>
              <w:rFonts w:ascii="Arial" w:hAnsi="Arial"/>
              <w:sz w:val="16"/>
            </w:rPr>
            <w:instrText xml:space="preserve"> PAGE </w:instrText>
          </w:r>
          <w:r>
            <w:rPr>
              <w:rStyle w:val="C4"/>
              <w:rFonts w:ascii="Arial" w:hAnsi="Arial"/>
              <w:sz w:val="16"/>
            </w:rPr>
            <w:fldChar w:fldCharType="separate"/>
          </w:r>
          <w:r>
            <w:rPr>
              <w:rStyle w:val="C4"/>
              <w:rFonts w:ascii="Arial" w:hAnsi="Arial"/>
              <w:sz w:val="16"/>
            </w:rPr>
            <w:t>#</w:t>
          </w:r>
          <w:r>
            <w:rPr>
              <w:rStyle w:val="C4"/>
              <w:rFonts w:ascii="Arial" w:hAnsi="Arial"/>
              <w:sz w:val="16"/>
            </w:rPr>
            <w:fldChar w:fldCharType="end"/>
          </w:r>
        </w:p>
      </w:tc>
      <w:tc>
        <w:tcPr>
          <w:tcW w:w="4859" w:type="dxa"/>
        </w:tcPr>
        <w:p>
          <w:pPr>
            <w:pStyle w:val="P13"/>
            <w:tabs>
              <w:tab w:val="clear" w:pos="4320" w:leader="none"/>
              <w:tab w:val="clear" w:pos="8640" w:leader="none"/>
            </w:tabs>
            <w:jc w:val="right"/>
            <w:rPr>
              <w:rFonts w:ascii="Arial" w:hAnsi="Arial"/>
              <w:sz w:val="16"/>
            </w:rPr>
          </w:pPr>
        </w:p>
      </w:tc>
    </w:tr>
  </w:tbl>
  <w:p>
    <w:pPr>
      <w:pStyle w:val="P13"/>
      <w:jc w:val="right"/>
    </w:pPr>
    <w:r>
      <w:rPr>
        <w:rFonts w:ascii="Arial" w:hAnsi="Arial"/>
        <w:sz w:val="16"/>
      </w:rPr>
      <w:t>СРБ102</w:t>
    </w:r>
    <w:r>
      <w:rPr>
        <w:rFonts w:ascii="Arial" w:hAnsi="Arial"/>
        <w:color w:val="FF0000"/>
        <w:sz w:val="16"/>
      </w:rPr>
      <w:t xml:space="preserve"> </w:t>
    </w:r>
    <w:r>
      <w:rPr>
        <w:rFonts w:ascii="Arial" w:hAnsi="Arial"/>
        <w:sz w:val="16"/>
      </w:rPr>
      <w:t>ГР30 150413</w:t>
    </w:r>
  </w:p>
</w:ftr>
</file>

<file path=word/numbering.xml><?xml version="1.0" encoding="utf-8"?>
<w:numbering xmlns:w="http://schemas.openxmlformats.org/wordprocessingml/2006/main">
  <w:abstractNum w:abstractNumId="0">
    <w:nsid w:val="FFFFFF88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00352D8D"/>
    <w:multiLevelType w:val="hybridMultilevel"/>
    <w:lvl w:ilvl="0" w:tplc="30A1A6F0">
      <w:start w:val="25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20D0D33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BAAA6B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F58A6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22EBBF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5DA261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9B9CCC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E23473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0CA4D3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049322F7"/>
    <w:multiLevelType w:val="hybridMultilevel"/>
    <w:lvl w:ilvl="0" w:tplc="181BBFF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2."/>
      <w:lvlJc w:val="left"/>
      <w:pPr>
        <w:ind w:hanging="360" w:left="360"/>
        <w:tabs>
          <w:tab w:val="left" w:pos="360" w:leader="none"/>
        </w:tabs>
      </w:pPr>
      <w:rPr/>
    </w:lvl>
    <w:lvl w:ilvl="2" w:tplc="0CC57799">
      <w:start w:val="1"/>
      <w:numFmt w:val="bullet"/>
      <w:suff w:val="tab"/>
      <w:lvlText w:val=""/>
      <w:lvlJc w:val="left"/>
      <w:pPr>
        <w:ind w:hanging="360" w:left="540"/>
        <w:tabs>
          <w:tab w:val="left" w:pos="540" w:leader="none"/>
        </w:tabs>
      </w:pPr>
      <w:rPr>
        <w:rFonts w:ascii="Symbol" w:hAnsi="Symbol"/>
      </w:rPr>
    </w:lvl>
    <w:lvl w:ilvl="3" w:tplc="2C9DF9F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1E6821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400580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8DB553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0D9EE4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1F5FDB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">
    <w:nsid w:val="060A60D5"/>
    <w:multiLevelType w:val="hybridMultilevel"/>
    <w:lvl w:ilvl="0" w:tplc="64037D2A">
      <w:start w:val="1"/>
      <w:numFmt w:val="bullet"/>
      <w:suff w:val="tab"/>
      <w:lvlText w:val=""/>
      <w:lvlJc w:val="left"/>
      <w:pPr>
        <w:ind w:hanging="227" w:left="794"/>
        <w:tabs>
          <w:tab w:val="left" w:pos="794" w:leader="none"/>
        </w:tabs>
      </w:pPr>
      <w:rPr>
        <w:rFonts w:ascii="Symbol" w:hAnsi="Symbol"/>
      </w:rPr>
    </w:lvl>
    <w:lvl w:ilvl="1" w:tplc="5DE06FA2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7AB3B19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15AA7B4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D95D79D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E0016A9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2FE52A23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5F4A352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453E312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4">
    <w:nsid w:val="14105CA9"/>
    <w:multiLevelType w:val="multilevel"/>
    <w:lvl w:ilvl="0">
      <w:start w:val="1"/>
      <w:numFmt w:val="decimal"/>
      <w:suff w:val="tab"/>
      <w:lvlText w:val="%1.     "/>
      <w:lvlJc w:val="left"/>
      <w:pPr>
        <w:ind w:firstLine="0" w:left="0"/>
        <w:tabs>
          <w:tab w:val="left" w:pos="720" w:leader="none"/>
        </w:tabs>
      </w:pPr>
      <w:rPr>
        <w:b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5">
    <w:nsid w:val="162A0200"/>
    <w:multiLevelType w:val="hybridMultilevel"/>
    <w:lvl w:ilvl="0" w:tplc="392841AB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69EA802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0EDEBFB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43AD1AB2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7676597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A86926C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73CE82A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BA6E713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7E1B81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6">
    <w:nsid w:val="28FE49B9"/>
    <w:multiLevelType w:val="hybridMultilevel"/>
    <w:lvl w:ilvl="0" w:tplc="3672A3B4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593D16FC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4CE2682A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35C006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ED90BC5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F700CE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957A6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4FE17B5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2D5032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7">
    <w:nsid w:val="2F7A1ECB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39EE321F"/>
    <w:multiLevelType w:val="hybridMultilevel"/>
    <w:lvl w:ilvl="0" w:tplc="7F2F3114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BD275D7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57E5A8B6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5D8D91AE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3E3D40A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612ABEF2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144CD064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9D12067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1A9B02A1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3CC340A6"/>
    <w:multiLevelType w:val="hybridMultilevel"/>
    <w:lvl w:ilvl="0" w:tplc="24242AB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54DE44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0BD05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2D0BC8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BC57C9A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400E71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CF08BD3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CB1E4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CF4C9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4AA85445"/>
    <w:multiLevelType w:val="hybridMultilevel"/>
    <w:lvl w:ilvl="0" w:tplc="1F44887D">
      <w:start w:val="1"/>
      <w:numFmt w:val="bullet"/>
      <w:suff w:val="tab"/>
      <w:lvlText w:val=""/>
      <w:lvlJc w:val="left"/>
      <w:pPr>
        <w:ind w:hanging="57" w:left="624"/>
        <w:tabs>
          <w:tab w:val="left" w:pos="1137" w:leader="none"/>
        </w:tabs>
      </w:pPr>
      <w:rPr>
        <w:rFonts w:ascii="Symbol" w:hAnsi="Symbol"/>
      </w:rPr>
    </w:lvl>
    <w:lvl w:ilvl="1" w:tplc="4D1D327E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1A5667E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23EE52B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556111D2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363F9B05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4C1E9FF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7268B18A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79CD84D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1">
    <w:nsid w:val="53F81719"/>
    <w:multiLevelType w:val="hybridMultilevel"/>
    <w:lvl w:ilvl="0" w:tplc="3513958C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1" w:tplc="30A77DC0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F0764DC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583B2E38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21501E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4DB45C4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3B2B1385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0B5F90D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1A222E7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2">
    <w:nsid w:val="55195820"/>
    <w:multiLevelType w:val="hybridMultilevel"/>
    <w:lvl w:ilvl="0" w:tplc="6D58886C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5B9AAFFB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2606AD23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DB400CA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2F604B4E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1CA53A0D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1FEB90CB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3318BE6C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765903C7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3">
    <w:nsid w:val="5FE112DF"/>
    <w:multiLevelType w:val="hybridMultilevel"/>
    <w:lvl w:ilvl="0" w:tplc="64D5E8C0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Arial" w:hAnsi="Arial"/>
      </w:rPr>
    </w:lvl>
    <w:lvl w:ilvl="1" w:tplc="43A1E72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D779A6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8E1811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066B759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227276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FA0C14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450F1E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2C449D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676E3BF2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6C5F4DFD"/>
    <w:multiLevelType w:val="hybridMultilevel"/>
    <w:lvl w:ilvl="0" w:tplc="512F9DA4">
      <w:start w:val="1"/>
      <w:numFmt w:val="bullet"/>
      <w:suff w:val="tab"/>
      <w:lvlText w:val=""/>
      <w:lvlJc w:val="left"/>
      <w:pPr>
        <w:ind w:hanging="170" w:left="737"/>
        <w:tabs>
          <w:tab w:val="left" w:pos="680" w:leader="none"/>
        </w:tabs>
      </w:pPr>
      <w:rPr>
        <w:rFonts w:ascii="Symbol" w:hAnsi="Symbol"/>
      </w:rPr>
    </w:lvl>
    <w:lvl w:ilvl="1" w:tplc="2CF04CE9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36716404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21A60EB0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16EF2B8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517B227F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598DE7A4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5F393AD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2929A3A6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16">
    <w:nsid w:val="6FB42916"/>
    <w:multiLevelType w:val="hybrid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 w:tplc="5B939DC3">
      <w:start w:val="0"/>
      <w:numFmt w:val="bullet"/>
      <w:suff w:val="tab"/>
      <w:lvlText w:val="–"/>
      <w:lvlJc w:val="left"/>
      <w:pPr>
        <w:ind w:hanging="360" w:left="1440"/>
        <w:tabs>
          <w:tab w:val="left" w:pos="1440" w:leader="none"/>
        </w:tabs>
      </w:pPr>
      <w:rPr>
        <w:rFonts w:ascii="Arial" w:hAnsi="Arial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7E571AD5"/>
    <w:multiLevelType w:val="hybridMultilevel"/>
    <w:lvl w:ilvl="0" w:tplc="4BE8FC84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338E26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557740B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A5AA0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0F848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9DEB99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F9803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117356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9C8A06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1"/>
  </w:num>
  <w:num w:numId="8">
    <w:abstractNumId w:val="10"/>
  </w:num>
  <w:num w:numId="9">
    <w:abstractNumId w:val="5"/>
  </w:num>
  <w:num w:numId="10">
    <w:abstractNumId w:val="15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7"/>
  </w:num>
  <w:num w:numId="16">
    <w:abstractNumId w:val="14"/>
  </w:num>
  <w:num w:numId="17">
    <w:abstractNumId w:val="0"/>
  </w:num>
  <w:num w:numId="18">
    <w:abstractNumId w:val="16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spacing w:before="40"/>
      <w:jc w:val="center"/>
      <w:outlineLvl w:val="0"/>
    </w:pPr>
    <w:rPr>
      <w:rFonts w:ascii="Arial" w:hAnsi="Arial"/>
      <w:b w:val="1"/>
      <w:sz w:val="20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7"/>
    <w:basedOn w:val="P0"/>
    <w:next w:val="P0"/>
    <w:pPr>
      <w:keepNext w:val="1"/>
      <w:jc w:val="right"/>
      <w:outlineLvl w:val="6"/>
    </w:pPr>
    <w:rPr>
      <w:rFonts w:ascii="Arial" w:hAnsi="Arial"/>
      <w:b w:val="1"/>
      <w:sz w:val="16"/>
    </w:rPr>
  </w:style>
  <w:style w:type="paragraph" w:styleId="P9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10">
    <w:name w:val="Footnote Text"/>
    <w:basedOn w:val="P0"/>
    <w:next w:val="P10"/>
    <w:pPr/>
    <w:rPr>
      <w:sz w:val="20"/>
    </w:rPr>
  </w:style>
  <w:style w:type="paragraph" w:styleId="P11">
    <w:name w:val="Header"/>
    <w:basedOn w:val="P0"/>
    <w:next w:val="P11"/>
    <w:pPr>
      <w:tabs>
        <w:tab w:val="center" w:pos="4320" w:leader="none"/>
        <w:tab w:val="right" w:pos="8640" w:leader="none"/>
      </w:tabs>
    </w:pPr>
    <w:rPr/>
  </w:style>
  <w:style w:type="paragraph" w:styleId="P12">
    <w:name w:val="Body Text"/>
    <w:basedOn w:val="P0"/>
    <w:next w:val="P12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3">
    <w:name w:val="Footer"/>
    <w:basedOn w:val="P0"/>
    <w:next w:val="P13"/>
    <w:pPr>
      <w:tabs>
        <w:tab w:val="center" w:pos="4320" w:leader="none"/>
        <w:tab w:val="right" w:pos="8640" w:leader="none"/>
      </w:tabs>
    </w:pPr>
    <w:rPr/>
  </w:style>
  <w:style w:type="paragraph" w:styleId="P14">
    <w:name w:val="Body Text 2"/>
    <w:basedOn w:val="P0"/>
    <w:next w:val="P14"/>
    <w:pPr>
      <w:tabs>
        <w:tab w:val="left" w:pos="142" w:leader="none"/>
      </w:tabs>
      <w:jc w:val="both"/>
    </w:pPr>
    <w:rPr>
      <w:rFonts w:ascii="Arial" w:hAnsi="Arial"/>
    </w:rPr>
  </w:style>
  <w:style w:type="paragraph" w:styleId="P15">
    <w:name w:val="Body Text 3"/>
    <w:basedOn w:val="P0"/>
    <w:next w:val="P15"/>
    <w:pPr>
      <w:jc w:val="center"/>
    </w:pPr>
    <w:rPr>
      <w:rFonts w:ascii="Arial" w:hAnsi="Arial"/>
      <w:sz w:val="16"/>
    </w:rPr>
  </w:style>
  <w:style w:type="paragraph" w:styleId="P16">
    <w:name w:val="Paragraph Numbering"/>
    <w:basedOn w:val="P0"/>
    <w:next w:val="P16"/>
    <w:pPr>
      <w:numPr>
        <w:numId w:val="4"/>
      </w:numPr>
      <w:spacing w:after="240"/>
    </w:pPr>
    <w:rPr/>
  </w:style>
  <w:style w:type="paragraph" w:styleId="P17">
    <w:name w:val="Balloon Text"/>
    <w:basedOn w:val="P0"/>
    <w:next w:val="P17"/>
    <w:pPr/>
    <w:rPr>
      <w:rFonts w:ascii="Tahoma" w:hAnsi="Tahoma"/>
      <w:sz w:val="16"/>
    </w:rPr>
  </w:style>
  <w:style w:type="paragraph" w:styleId="P18">
    <w:name w:val="Body Text Indent"/>
    <w:basedOn w:val="P0"/>
    <w:next w:val="P18"/>
    <w:pPr>
      <w:ind w:firstLine="720"/>
    </w:pPr>
    <w:rPr>
      <w:rFonts w:ascii="Arial" w:hAnsi="Arial"/>
      <w:sz w:val="20"/>
    </w:rPr>
  </w:style>
  <w:style w:type="paragraph" w:styleId="P19">
    <w:name w:val="Comment Text"/>
    <w:basedOn w:val="P0"/>
    <w:next w:val="P19"/>
    <w:pPr/>
    <w:rPr>
      <w:sz w:val="20"/>
    </w:rPr>
  </w:style>
  <w:style w:type="paragraph" w:styleId="P20">
    <w:name w:val="Podnaslov sopstenja"/>
    <w:basedOn w:val="P0"/>
    <w:next w:val="P20"/>
    <w:pPr>
      <w:spacing w:after="120"/>
      <w:jc w:val="center"/>
    </w:pPr>
    <w:rPr>
      <w:rFonts w:ascii="Arial" w:hAnsi="Arial"/>
      <w:b w:val="1"/>
      <w:sz w:val="22"/>
    </w:rPr>
  </w:style>
  <w:style w:type="paragraph" w:styleId="P21">
    <w:name w:val="Naslov tabela"/>
    <w:basedOn w:val="P0"/>
    <w:next w:val="P21"/>
    <w:pPr>
      <w:numPr>
        <w:numId w:val="13"/>
      </w:numPr>
      <w:tabs>
        <w:tab w:val="left" w:pos="284" w:leader="none"/>
        <w:tab w:val="clear" w:pos="360" w:leader="none"/>
      </w:tabs>
      <w:spacing w:before="120" w:after="120"/>
      <w:ind w:hanging="284" w:left="284"/>
      <w:jc w:val="center"/>
    </w:pPr>
    <w:rPr>
      <w:rFonts w:ascii="Arial" w:hAnsi="Arial"/>
      <w:b w:val="1"/>
      <w:sz w:val="20"/>
    </w:rPr>
  </w:style>
  <w:style w:type="paragraph" w:styleId="P22">
    <w:name w:val="Title"/>
    <w:basedOn w:val="P0"/>
    <w:next w:val="P22"/>
    <w:pPr>
      <w:spacing w:before="240" w:after="60"/>
      <w:jc w:val="center"/>
      <w:outlineLvl w:val="0"/>
    </w:pPr>
    <w:rPr>
      <w:rFonts w:ascii="Arial" w:hAnsi="Arial"/>
      <w:b w:val="1"/>
      <w:sz w:val="32"/>
    </w:rPr>
  </w:style>
  <w:style w:type="paragraph" w:styleId="P23">
    <w:name w:val="Caption"/>
    <w:basedOn w:val="P0"/>
    <w:next w:val="P0"/>
    <w:pPr/>
    <w:rPr>
      <w:b w:val="1"/>
      <w:sz w:val="20"/>
    </w:rPr>
  </w:style>
  <w:style w:type="paragraph" w:styleId="P24">
    <w:name w:val="Body Text First Indent"/>
    <w:basedOn w:val="P12"/>
    <w:next w:val="P24"/>
    <w:pPr>
      <w:numPr>
        <w:numId w:val="17"/>
      </w:numPr>
      <w:tabs>
        <w:tab w:val="clear" w:pos="142" w:leader="none"/>
        <w:tab w:val="clear" w:pos="360" w:leader="none"/>
      </w:tabs>
      <w:spacing w:after="120"/>
      <w:ind w:firstLine="210" w:left="0"/>
      <w:jc w:val="left"/>
    </w:pPr>
    <w:rPr>
      <w:sz w:val="20"/>
    </w:rPr>
  </w:style>
  <w:style w:type="paragraph" w:styleId="P25">
    <w:name w:val="Comment Subject"/>
    <w:basedOn w:val="P19"/>
    <w:next w:val="P19"/>
    <w:pPr/>
    <w:rPr>
      <w:b w:val="1"/>
    </w:rPr>
  </w:style>
  <w:style w:type="paragraph" w:styleId="P26">
    <w:name w:val="Naslov saopstenja"/>
    <w:basedOn w:val="P22"/>
    <w:next w:val="P23"/>
    <w:pPr>
      <w:spacing w:after="0"/>
    </w:pPr>
    <w:rPr>
      <w:sz w:val="24"/>
    </w:rPr>
  </w:style>
  <w:style w:type="paragraph" w:styleId="P27">
    <w:name w:val="Tekst Metodologija i Napomena"/>
    <w:basedOn w:val="P24"/>
    <w:next w:val="P12"/>
    <w:pPr>
      <w:spacing w:before="120" w:after="0"/>
      <w:ind w:firstLine="397"/>
      <w:jc w:val="both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Comment Reference"/>
    <w:basedOn w:val="C0"/>
    <w:rPr>
      <w:sz w:val="16"/>
    </w:rPr>
  </w:style>
  <w:style w:type="character" w:styleId="C6">
    <w:name w:val="FollowedHyperlink"/>
    <w:basedOn w:val="C0"/>
    <w:rPr>
      <w:color w:val="800080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jpg" /><Relationship Id="Relimage2" Type="http://schemas.openxmlformats.org/officeDocument/2006/relationships/image" Target="/media/image2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Dejana Djordjevic</dc:creator>
  <dcterms:created xsi:type="dcterms:W3CDTF">2013-04-15T08:20:00Z</dcterms:created>
  <cp:lastModifiedBy>Nikola Kapetanovic</cp:lastModifiedBy>
  <cp:lastPrinted>2013-02-08T12:58:00Z</cp:lastPrinted>
  <dcterms:modified xsi:type="dcterms:W3CDTF">2020-01-10T11:17:15Z</dcterms:modified>
  <cp:revision>4</cp:revision>
  <dc:title>Република Србија</dc:title>
</cp:coreProperties>
</file>